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keepNext w:val="0"/>
        <w:keepLines w:val="0"/>
        <w:pageBreakBefore w:val="0"/>
        <w:widowControl/>
        <w:kinsoku/>
        <w:wordWrap/>
        <w:overflowPunct/>
        <w:topLinePunct w:val="0"/>
        <w:autoSpaceDE/>
        <w:autoSpaceDN/>
        <w:bidi w:val="0"/>
        <w:spacing w:before="0" w:beforeAutospacing="0" w:after="0" w:afterAutospacing="0" w:line="560" w:lineRule="exact"/>
        <w:jc w:val="center"/>
        <w:textAlignment w:val="auto"/>
        <w:rPr>
          <w:rFonts w:hint="eastAsia" w:ascii="方正小标宋简体" w:hAnsi="方正小标宋简体" w:eastAsia="方正小标宋简体" w:cs="方正小标宋简体"/>
          <w:color w:val="auto"/>
          <w:sz w:val="44"/>
          <w:szCs w:val="44"/>
          <w:lang w:eastAsia="zh-CN"/>
        </w:rPr>
      </w:pPr>
      <w:r>
        <w:rPr>
          <w:rFonts w:hint="eastAsia" w:ascii="方正小标宋简体" w:hAnsi="方正小标宋简体" w:eastAsia="方正小标宋简体" w:cs="方正小标宋简体"/>
          <w:color w:val="auto"/>
          <w:sz w:val="44"/>
          <w:szCs w:val="44"/>
          <w:lang w:eastAsia="zh-CN"/>
        </w:rPr>
        <w:t>《龙华区工业园区提质增效三年实施方案（征求意见稿）》编制说明</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仿宋_GB2312"/>
          <w:sz w:val="32"/>
          <w:szCs w:val="32"/>
        </w:rPr>
      </w:pPr>
    </w:p>
    <w:p>
      <w:pPr>
        <w:keepNext w:val="0"/>
        <w:keepLines w:val="0"/>
        <w:pageBreakBefore w:val="0"/>
        <w:kinsoku/>
        <w:wordWrap/>
        <w:overflowPunct/>
        <w:topLinePunct w:val="0"/>
        <w:autoSpaceDE/>
        <w:autoSpaceDN/>
        <w:bidi w:val="0"/>
        <w:spacing w:line="560" w:lineRule="exact"/>
        <w:ind w:firstLine="640" w:firstLineChars="200"/>
        <w:jc w:val="left"/>
        <w:textAlignment w:val="auto"/>
        <w:rPr>
          <w:rFonts w:hint="eastAsia" w:ascii="仿宋_GB2312" w:hAnsi="仿宋_GB2312" w:eastAsia="仿宋_GB2312" w:cs="仿宋_GB2312"/>
          <w:b w:val="0"/>
          <w:color w:val="auto"/>
          <w:sz w:val="32"/>
          <w:szCs w:val="32"/>
          <w:lang w:val="en-US" w:eastAsia="zh-CN"/>
        </w:rPr>
      </w:pPr>
      <w:r>
        <w:rPr>
          <w:rFonts w:hint="eastAsia" w:ascii="仿宋_GB2312" w:hAnsi="仿宋_GB2312" w:eastAsia="仿宋_GB2312" w:cs="仿宋_GB2312"/>
          <w:sz w:val="32"/>
          <w:szCs w:val="32"/>
        </w:rPr>
        <w:t>为进一步拓宽优质产业空间供给渠道，为全区制造业转型发展提供空间保障，构建更加优化的“一圈一区三廊”区域发展格局，推进“数字龙华、都市核心”建设</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根据区委区政府工作部署，</w:t>
      </w:r>
      <w:r>
        <w:rPr>
          <w:rFonts w:hint="eastAsia" w:ascii="仿宋_GB2312" w:hAnsi="仿宋_GB2312" w:eastAsia="仿宋_GB2312" w:cs="仿宋_GB2312"/>
          <w:b w:val="0"/>
          <w:color w:val="auto"/>
          <w:sz w:val="32"/>
          <w:szCs w:val="32"/>
          <w:lang w:val="en-US" w:eastAsia="zh-CN"/>
        </w:rPr>
        <w:t>我局组织编制了《龙华区工业园区提质增效三年实施方案（征求意见稿）》</w:t>
      </w:r>
      <w:r>
        <w:rPr>
          <w:rFonts w:hint="eastAsia" w:ascii="仿宋_GB2312" w:hAnsi="仿宋_GB2312" w:eastAsia="仿宋_GB2312" w:cs="仿宋_GB2312"/>
          <w:color w:val="auto"/>
          <w:sz w:val="32"/>
          <w:lang w:eastAsia="zh-CN"/>
        </w:rPr>
        <w:t>（以下简称《实施方案（征求意见稿）》）。现将</w:t>
      </w:r>
      <w:r>
        <w:rPr>
          <w:rFonts w:hint="eastAsia" w:ascii="仿宋_GB2312" w:hAnsi="仿宋_GB2312" w:eastAsia="仿宋_GB2312" w:cs="仿宋_GB2312"/>
          <w:b w:val="0"/>
          <w:color w:val="auto"/>
          <w:sz w:val="32"/>
          <w:szCs w:val="32"/>
          <w:lang w:val="en-US" w:eastAsia="zh-CN"/>
        </w:rPr>
        <w:t>有关编制情况说明如下：</w:t>
      </w:r>
    </w:p>
    <w:p>
      <w:pPr>
        <w:keepNext w:val="0"/>
        <w:keepLines w:val="0"/>
        <w:pageBreakBefore w:val="0"/>
        <w:numPr>
          <w:ilvl w:val="0"/>
          <w:numId w:val="0"/>
        </w:numPr>
        <w:kinsoku/>
        <w:wordWrap/>
        <w:overflowPunct/>
        <w:topLinePunct w:val="0"/>
        <w:autoSpaceDE/>
        <w:autoSpaceDN/>
        <w:bidi w:val="0"/>
        <w:spacing w:line="560" w:lineRule="exact"/>
        <w:ind w:firstLine="640" w:firstLineChars="200"/>
        <w:jc w:val="left"/>
        <w:textAlignment w:val="auto"/>
        <w:rPr>
          <w:rFonts w:hint="eastAsia" w:ascii="黑体" w:hAnsi="黑体" w:eastAsia="黑体" w:cs="黑体"/>
          <w:b w:val="0"/>
          <w:color w:val="auto"/>
          <w:sz w:val="32"/>
          <w:szCs w:val="32"/>
          <w:lang w:val="en-US" w:eastAsia="zh-CN"/>
        </w:rPr>
      </w:pPr>
      <w:r>
        <w:rPr>
          <w:rFonts w:hint="eastAsia" w:ascii="黑体" w:hAnsi="黑体" w:eastAsia="黑体" w:cs="黑体"/>
          <w:b w:val="0"/>
          <w:color w:val="auto"/>
          <w:sz w:val="32"/>
          <w:szCs w:val="32"/>
          <w:lang w:val="en-US" w:eastAsia="zh-CN"/>
        </w:rPr>
        <w:t>一、编制的必要性</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近年来，龙华区可建设的工业用地</w:t>
      </w:r>
      <w:r>
        <w:rPr>
          <w:rFonts w:hint="eastAsia" w:ascii="仿宋_GB2312" w:hAnsi="仿宋_GB2312" w:eastAsia="仿宋_GB2312" w:cs="仿宋_GB2312"/>
          <w:sz w:val="32"/>
          <w:szCs w:val="32"/>
          <w:lang w:eastAsia="zh-CN"/>
        </w:rPr>
        <w:t>较为</w:t>
      </w:r>
      <w:r>
        <w:rPr>
          <w:rFonts w:hint="eastAsia" w:ascii="仿宋_GB2312" w:hAnsi="仿宋_GB2312" w:eastAsia="仿宋_GB2312" w:cs="仿宋_GB2312"/>
          <w:sz w:val="32"/>
          <w:szCs w:val="32"/>
        </w:rPr>
        <w:t>饱和，可开发建设工业用地严重不足，</w:t>
      </w:r>
      <w:r>
        <w:rPr>
          <w:rFonts w:hint="eastAsia" w:ascii="仿宋_GB2312" w:hAnsi="仿宋_GB2312" w:eastAsia="仿宋_GB2312" w:cs="仿宋_GB2312"/>
          <w:sz w:val="32"/>
          <w:szCs w:val="32"/>
          <w:lang w:eastAsia="zh-CN"/>
        </w:rPr>
        <w:t>且</w:t>
      </w:r>
      <w:r>
        <w:rPr>
          <w:rFonts w:hint="eastAsia" w:ascii="仿宋_GB2312" w:hAnsi="仿宋_GB2312" w:eastAsia="仿宋_GB2312" w:cs="仿宋_GB2312"/>
          <w:sz w:val="32"/>
          <w:szCs w:val="32"/>
        </w:rPr>
        <w:t>相当数量的优质土地被低效利用</w:t>
      </w:r>
      <w:r>
        <w:rPr>
          <w:rFonts w:hint="eastAsia" w:ascii="仿宋_GB2312" w:hAnsi="仿宋_GB2312" w:eastAsia="仿宋_GB2312" w:cs="仿宋_GB2312"/>
          <w:sz w:val="32"/>
          <w:szCs w:val="32"/>
          <w:lang w:eastAsia="zh-CN"/>
        </w:rPr>
        <w:t>。目前，龙华区工业园区普遍存在：</w:t>
      </w:r>
      <w:r>
        <w:rPr>
          <w:rFonts w:hint="eastAsia" w:ascii="仿宋_GB2312" w:hAnsi="仿宋_GB2312" w:eastAsia="仿宋_GB2312" w:cs="仿宋_GB2312"/>
          <w:sz w:val="32"/>
          <w:szCs w:val="32"/>
        </w:rPr>
        <w:t>园区现状规划布局普遍存在“小而乱”的现象，工业园区营业收入呈现明显的两极分化趋势；部分工业园区以单一生产制造功能为主，其他配套功能不足或质量不高，与智慧园区、绿色园区建设的要求差距甚远；部分工业园区以简单厂房租赁为主，在招商引资、产业导入、物业租赁、金融服务等方面均处于较低水平；还有部分厂房形态标准难以满足新兴产业、先进制造业在平面空间尺寸、垂直运输、地下空间、柱跨、层数、层高、承重等方面的要求等；园区工作职责划分不清晰等问题。</w:t>
      </w:r>
    </w:p>
    <w:p>
      <w:pPr>
        <w:keepNext w:val="0"/>
        <w:keepLines w:val="0"/>
        <w:pageBreakBefore w:val="0"/>
        <w:kinsoku/>
        <w:wordWrap/>
        <w:overflowPunct/>
        <w:topLinePunct w:val="0"/>
        <w:autoSpaceDE/>
        <w:autoSpaceDN/>
        <w:bidi w:val="0"/>
        <w:spacing w:line="560" w:lineRule="exact"/>
        <w:ind w:firstLine="640" w:firstLineChars="200"/>
        <w:textAlignment w:val="auto"/>
        <w:rPr>
          <w:rFonts w:hint="eastAsia"/>
          <w:lang w:eastAsia="zh-CN"/>
        </w:rPr>
      </w:pPr>
      <w:r>
        <w:rPr>
          <w:rFonts w:hint="eastAsia" w:ascii="仿宋_GB2312" w:hAnsi="仿宋_GB2312" w:eastAsia="仿宋_GB2312" w:cs="仿宋_GB2312"/>
          <w:sz w:val="32"/>
          <w:szCs w:val="32"/>
          <w:lang w:eastAsia="zh-CN"/>
        </w:rPr>
        <w:t>为全面加大优质产业空间供给，进一步激发市场主体活力，提升工业园区运营管理和服务水平，支持龙华实体经济高质量发展，我局牵头编制了</w:t>
      </w:r>
      <w:r>
        <w:rPr>
          <w:rFonts w:hint="eastAsia" w:ascii="仿宋_GB2312" w:hAnsi="仿宋_GB2312" w:eastAsia="仿宋_GB2312" w:cs="仿宋_GB2312"/>
          <w:color w:val="auto"/>
          <w:sz w:val="32"/>
          <w:lang w:eastAsia="zh-CN"/>
        </w:rPr>
        <w:t>《实施方案（征求意见稿）》，</w:t>
      </w:r>
      <w:r>
        <w:rPr>
          <w:rFonts w:hint="eastAsia" w:ascii="仿宋_GB2312" w:hAnsi="仿宋_GB2312" w:eastAsia="仿宋_GB2312" w:cs="仿宋_GB2312"/>
          <w:color w:val="auto"/>
          <w:sz w:val="32"/>
          <w:szCs w:val="22"/>
        </w:rPr>
        <w:t>围绕不同类型、不同发展阶段</w:t>
      </w:r>
      <w:r>
        <w:rPr>
          <w:rFonts w:hint="eastAsia" w:ascii="仿宋_GB2312" w:hAnsi="仿宋_GB2312" w:eastAsia="仿宋_GB2312" w:cs="仿宋_GB2312"/>
          <w:color w:val="auto"/>
          <w:sz w:val="32"/>
          <w:szCs w:val="22"/>
          <w:lang w:eastAsia="zh-CN"/>
        </w:rPr>
        <w:t>现状园区</w:t>
      </w:r>
      <w:r>
        <w:rPr>
          <w:rFonts w:hint="eastAsia" w:ascii="仿宋_GB2312" w:hAnsi="仿宋_GB2312" w:eastAsia="仿宋_GB2312" w:cs="仿宋_GB2312"/>
          <w:color w:val="auto"/>
          <w:sz w:val="32"/>
          <w:szCs w:val="22"/>
        </w:rPr>
        <w:t>,</w:t>
      </w:r>
      <w:r>
        <w:rPr>
          <w:rFonts w:hint="eastAsia" w:ascii="仿宋_GB2312" w:hAnsi="仿宋_GB2312" w:eastAsia="仿宋_GB2312" w:cs="仿宋_GB2312"/>
          <w:color w:val="auto"/>
          <w:sz w:val="32"/>
          <w:szCs w:val="32"/>
          <w:lang w:eastAsia="zh-CN"/>
        </w:rPr>
        <w:t>通过“更新一批、提容一批、整治一批、保留和专业化运营一批”</w:t>
      </w:r>
      <w:r>
        <w:rPr>
          <w:rFonts w:hint="eastAsia" w:ascii="仿宋_GB2312" w:hAnsi="仿宋_GB2312" w:eastAsia="仿宋_GB2312" w:cs="仿宋_GB2312"/>
          <w:color w:val="auto"/>
          <w:sz w:val="32"/>
          <w:szCs w:val="22"/>
        </w:rPr>
        <w:t>等多途径多手段，</w:t>
      </w:r>
      <w:r>
        <w:rPr>
          <w:rFonts w:hint="eastAsia" w:ascii="仿宋_GB2312" w:hAnsi="仿宋_GB2312" w:eastAsia="仿宋_GB2312" w:cs="仿宋_GB2312"/>
          <w:color w:val="auto"/>
          <w:sz w:val="32"/>
          <w:szCs w:val="22"/>
          <w:lang w:eastAsia="zh-CN"/>
        </w:rPr>
        <w:t>推动</w:t>
      </w:r>
      <w:r>
        <w:rPr>
          <w:rFonts w:hint="eastAsia" w:ascii="仿宋_GB2312" w:hAnsi="仿宋_GB2312" w:eastAsia="仿宋_GB2312" w:cs="仿宋_GB2312"/>
          <w:color w:val="auto"/>
          <w:sz w:val="32"/>
          <w:szCs w:val="22"/>
        </w:rPr>
        <w:t>全区工业园区转型升级和</w:t>
      </w:r>
      <w:r>
        <w:rPr>
          <w:rFonts w:hint="eastAsia" w:ascii="仿宋_GB2312" w:hAnsi="仿宋_GB2312" w:eastAsia="仿宋_GB2312" w:cs="仿宋_GB2312"/>
          <w:color w:val="auto"/>
          <w:sz w:val="32"/>
          <w:szCs w:val="22"/>
          <w:lang w:eastAsia="zh-CN"/>
        </w:rPr>
        <w:t>提质增效。力争到</w:t>
      </w:r>
      <w:r>
        <w:rPr>
          <w:rFonts w:hint="eastAsia" w:ascii="仿宋_GB2312" w:hAnsi="仿宋_GB2312" w:eastAsia="仿宋_GB2312" w:cs="仿宋_GB2312"/>
          <w:color w:val="auto"/>
          <w:sz w:val="32"/>
          <w:szCs w:val="22"/>
          <w:lang w:val="en-US" w:eastAsia="zh-CN"/>
        </w:rPr>
        <w:t>2025年底，改造建设产业用房1000万平方米，全力保障企业发展产业空间需求。</w:t>
      </w:r>
    </w:p>
    <w:p>
      <w:pPr>
        <w:keepNext w:val="0"/>
        <w:keepLines w:val="0"/>
        <w:pageBreakBefore w:val="0"/>
        <w:numPr>
          <w:ilvl w:val="0"/>
          <w:numId w:val="1"/>
        </w:numPr>
        <w:kinsoku/>
        <w:wordWrap/>
        <w:overflowPunct/>
        <w:topLinePunct w:val="0"/>
        <w:autoSpaceDE/>
        <w:autoSpaceDN/>
        <w:bidi w:val="0"/>
        <w:spacing w:line="560" w:lineRule="exact"/>
        <w:ind w:firstLine="640" w:firstLineChars="200"/>
        <w:jc w:val="left"/>
        <w:textAlignment w:val="auto"/>
        <w:rPr>
          <w:rFonts w:hint="eastAsia" w:ascii="黑体" w:hAnsi="黑体" w:eastAsia="黑体" w:cs="黑体"/>
          <w:b w:val="0"/>
          <w:color w:val="auto"/>
          <w:sz w:val="32"/>
          <w:szCs w:val="32"/>
          <w:lang w:val="en-US" w:eastAsia="zh-CN"/>
        </w:rPr>
      </w:pPr>
      <w:r>
        <w:rPr>
          <w:rFonts w:hint="eastAsia" w:ascii="黑体" w:hAnsi="黑体" w:eastAsia="黑体" w:cs="黑体"/>
          <w:b w:val="0"/>
          <w:color w:val="auto"/>
          <w:sz w:val="32"/>
          <w:szCs w:val="32"/>
          <w:lang w:val="en-US" w:eastAsia="zh-CN"/>
        </w:rPr>
        <w:t>编制依据</w:t>
      </w:r>
    </w:p>
    <w:p>
      <w:pPr>
        <w:keepNext w:val="0"/>
        <w:keepLines w:val="0"/>
        <w:widowControl/>
        <w:suppressLineNumbers w:val="0"/>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color w:val="auto"/>
          <w:sz w:val="32"/>
          <w:szCs w:val="32"/>
          <w:lang w:val="en-US" w:eastAsia="zh-CN"/>
        </w:rPr>
        <w:t>依据</w:t>
      </w:r>
      <w:r>
        <w:rPr>
          <w:rFonts w:hint="eastAsia" w:ascii="仿宋_GB2312" w:hAnsi="仿宋_GB2312" w:eastAsia="仿宋_GB2312" w:cs="仿宋_GB2312"/>
          <w:sz w:val="32"/>
          <w:szCs w:val="32"/>
        </w:rPr>
        <w:t>《深圳市国民经济和社会发展第十四个五年规划和二</w:t>
      </w:r>
      <w:r>
        <w:rPr>
          <w:rFonts w:hint="eastAsia" w:ascii="仿宋_GB2312" w:eastAsia="仿宋_GB2312"/>
          <w:sz w:val="32"/>
          <w:szCs w:val="32"/>
        </w:rPr>
        <w:t>○</w:t>
      </w:r>
      <w:r>
        <w:rPr>
          <w:rFonts w:hint="eastAsia" w:ascii="仿宋_GB2312" w:hAnsi="仿宋_GB2312" w:eastAsia="仿宋_GB2312" w:cs="仿宋_GB2312"/>
          <w:sz w:val="32"/>
          <w:szCs w:val="32"/>
        </w:rPr>
        <w:t>三五年远景目标纲要》</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color w:val="auto"/>
          <w:sz w:val="32"/>
          <w:szCs w:val="32"/>
          <w:lang w:val="en-US" w:eastAsia="zh-CN"/>
        </w:rPr>
        <w:t>《深圳国家高新区“十四五”发展规划》、</w:t>
      </w:r>
      <w:r>
        <w:rPr>
          <w:rFonts w:hint="eastAsia" w:ascii="仿宋_GB2312" w:hAnsi="仿宋_GB2312" w:eastAsia="仿宋_GB2312" w:cs="仿宋_GB2312"/>
          <w:sz w:val="32"/>
          <w:szCs w:val="32"/>
        </w:rPr>
        <w:t>《深圳市“十四五”规划纲要实施方案》</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color w:val="auto"/>
          <w:sz w:val="32"/>
          <w:szCs w:val="32"/>
          <w:lang w:val="en-US" w:eastAsia="zh-CN"/>
        </w:rPr>
        <w:t>《龙华区科技创新发展“十四五”规划</w:t>
      </w:r>
      <w:r>
        <w:rPr>
          <w:rFonts w:hint="eastAsia" w:ascii="仿宋_GB2312" w:hAnsi="仿宋_GB2312" w:eastAsia="仿宋_GB2312" w:cs="仿宋_GB2312"/>
          <w:sz w:val="32"/>
          <w:szCs w:val="32"/>
          <w:lang w:val="en-US" w:eastAsia="zh-CN"/>
        </w:rPr>
        <w:t>》、《深圳市龙华区工业发展“十四五”规划》</w:t>
      </w:r>
      <w:r>
        <w:rPr>
          <w:rFonts w:hint="eastAsia" w:ascii="仿宋_GB2312" w:hAnsi="仿宋_GB2312" w:eastAsia="仿宋_GB2312" w:cs="仿宋_GB2312"/>
          <w:sz w:val="32"/>
          <w:szCs w:val="32"/>
          <w:highlight w:val="none"/>
          <w:lang w:val="en-US" w:eastAsia="zh-CN"/>
        </w:rPr>
        <w:t>等文件及工作实际，编制本</w:t>
      </w:r>
      <w:r>
        <w:rPr>
          <w:rFonts w:hint="eastAsia" w:ascii="仿宋_GB2312" w:hAnsi="仿宋_GB2312" w:eastAsia="仿宋_GB2312" w:cs="仿宋_GB2312"/>
          <w:kern w:val="2"/>
          <w:sz w:val="32"/>
          <w:szCs w:val="32"/>
          <w:lang w:val="zh-TW" w:eastAsia="zh-CN" w:bidi="ar-SA"/>
        </w:rPr>
        <w:t>《实施方案（征求意见稿）》</w:t>
      </w:r>
      <w:r>
        <w:rPr>
          <w:rFonts w:hint="eastAsia" w:ascii="仿宋_GB2312" w:hAnsi="仿宋_GB2312" w:eastAsia="仿宋_GB2312" w:cs="仿宋_GB2312"/>
          <w:sz w:val="32"/>
          <w:szCs w:val="32"/>
          <w:highlight w:val="none"/>
          <w:lang w:val="en-US" w:eastAsia="zh-CN"/>
        </w:rPr>
        <w:t>。</w:t>
      </w:r>
    </w:p>
    <w:p>
      <w:pPr>
        <w:keepNext w:val="0"/>
        <w:keepLines w:val="0"/>
        <w:pageBreakBefore w:val="0"/>
        <w:numPr>
          <w:ilvl w:val="0"/>
          <w:numId w:val="0"/>
        </w:numPr>
        <w:kinsoku/>
        <w:wordWrap/>
        <w:overflowPunct/>
        <w:topLinePunct w:val="0"/>
        <w:autoSpaceDE/>
        <w:autoSpaceDN/>
        <w:bidi w:val="0"/>
        <w:spacing w:line="560" w:lineRule="exact"/>
        <w:ind w:firstLine="640" w:firstLineChars="200"/>
        <w:jc w:val="left"/>
        <w:textAlignment w:val="auto"/>
        <w:rPr>
          <w:rFonts w:hint="eastAsia" w:ascii="仿宋_GB2312" w:hAnsi="仿宋_GB2312" w:eastAsia="仿宋_GB2312" w:cs="仿宋_GB2312"/>
          <w:kern w:val="2"/>
          <w:sz w:val="32"/>
          <w:szCs w:val="32"/>
          <w:lang w:val="en-US" w:eastAsia="zh-CN" w:bidi="ar-SA"/>
        </w:rPr>
      </w:pPr>
      <w:r>
        <w:rPr>
          <w:rFonts w:hint="eastAsia" w:ascii="黑体" w:hAnsi="黑体" w:eastAsia="黑体" w:cs="黑体"/>
          <w:b w:val="0"/>
          <w:color w:val="auto"/>
          <w:sz w:val="32"/>
          <w:szCs w:val="32"/>
          <w:lang w:val="en-US" w:eastAsia="zh-CN"/>
        </w:rPr>
        <w:t>三、主要内容</w:t>
      </w:r>
    </w:p>
    <w:p>
      <w:pPr>
        <w:pStyle w:val="9"/>
        <w:keepNext w:val="0"/>
        <w:keepLines w:val="0"/>
        <w:pageBreakBefore w:val="0"/>
        <w:widowControl w:val="0"/>
        <w:kinsoku/>
        <w:wordWrap/>
        <w:overflowPunct/>
        <w:topLinePunct w:val="0"/>
        <w:autoSpaceDE/>
        <w:autoSpaceDN/>
        <w:bidi w:val="0"/>
        <w:adjustRightInd/>
        <w:spacing w:after="0" w:line="560" w:lineRule="exact"/>
        <w:ind w:left="0" w:leftChars="0" w:firstLine="640" w:firstLineChars="200"/>
        <w:jc w:val="both"/>
        <w:textAlignment w:val="auto"/>
        <w:rPr>
          <w:rFonts w:hint="default"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zh-TW" w:eastAsia="zh-CN" w:bidi="ar-SA"/>
        </w:rPr>
        <w:t>《实施方案（征求意见稿）》</w:t>
      </w:r>
      <w:r>
        <w:rPr>
          <w:rFonts w:hint="eastAsia" w:ascii="仿宋_GB2312" w:hAnsi="仿宋_GB2312" w:eastAsia="仿宋_GB2312" w:cs="仿宋_GB2312"/>
          <w:kern w:val="2"/>
          <w:sz w:val="32"/>
          <w:szCs w:val="32"/>
          <w:lang w:val="en-US" w:eastAsia="zh-CN" w:bidi="ar-SA"/>
        </w:rPr>
        <w:t>主要分为</w:t>
      </w:r>
      <w:r>
        <w:rPr>
          <w:rFonts w:hint="eastAsia" w:ascii="仿宋_GB2312" w:hAnsi="仿宋_GB2312" w:eastAsia="仿宋_GB2312" w:cs="仿宋_GB2312"/>
          <w:kern w:val="2"/>
          <w:sz w:val="32"/>
          <w:szCs w:val="32"/>
          <w:lang w:val="zh-TW" w:eastAsia="zh-CN" w:bidi="ar-SA"/>
        </w:rPr>
        <w:t>建设高标准产业空间、持续推进工业园区综合整治、</w:t>
      </w:r>
      <w:r>
        <w:rPr>
          <w:rFonts w:hint="eastAsia" w:ascii="仿宋_GB2312" w:hAnsi="仿宋_GB2312" w:eastAsia="仿宋_GB2312" w:cs="仿宋_GB2312"/>
          <w:kern w:val="2"/>
          <w:sz w:val="32"/>
          <w:szCs w:val="32"/>
          <w:lang w:val="en-US" w:eastAsia="zh-CN" w:bidi="ar-SA"/>
        </w:rPr>
        <w:t>大力推进园区高质量发展、</w:t>
      </w:r>
      <w:r>
        <w:rPr>
          <w:rFonts w:hint="eastAsia" w:ascii="仿宋_GB2312" w:hAnsi="仿宋_GB2312" w:eastAsia="仿宋_GB2312" w:cs="仿宋_GB2312"/>
          <w:kern w:val="2"/>
          <w:sz w:val="32"/>
          <w:szCs w:val="32"/>
          <w:lang w:val="zh-TW" w:eastAsia="zh-CN" w:bidi="ar-SA"/>
        </w:rPr>
        <w:t>强化园区专业化管理运营、</w:t>
      </w:r>
      <w:r>
        <w:rPr>
          <w:rFonts w:hint="eastAsia" w:ascii="仿宋_GB2312" w:hAnsi="仿宋_GB2312" w:eastAsia="仿宋_GB2312" w:cs="仿宋_GB2312"/>
          <w:kern w:val="2"/>
          <w:sz w:val="32"/>
          <w:szCs w:val="32"/>
          <w:lang w:val="en-US" w:eastAsia="zh-CN" w:bidi="ar-SA"/>
        </w:rPr>
        <w:t>构建精准主动服务体系</w:t>
      </w:r>
      <w:r>
        <w:rPr>
          <w:rFonts w:hint="eastAsia" w:cs="仿宋_GB2312"/>
          <w:kern w:val="2"/>
          <w:sz w:val="32"/>
          <w:szCs w:val="32"/>
          <w:lang w:val="en-US" w:eastAsia="zh-CN" w:bidi="ar-SA"/>
        </w:rPr>
        <w:t>五大板块，共25</w:t>
      </w:r>
      <w:bookmarkStart w:id="0" w:name="_GoBack"/>
      <w:bookmarkEnd w:id="0"/>
      <w:r>
        <w:rPr>
          <w:rFonts w:hint="eastAsia" w:cs="仿宋_GB2312"/>
          <w:kern w:val="2"/>
          <w:sz w:val="32"/>
          <w:szCs w:val="32"/>
          <w:lang w:val="en-US" w:eastAsia="zh-CN" w:bidi="ar-SA"/>
        </w:rPr>
        <w:t>点具体内容。主要如下：</w:t>
      </w:r>
    </w:p>
    <w:p>
      <w:pPr>
        <w:pStyle w:val="2"/>
        <w:keepNext w:val="0"/>
        <w:keepLines w:val="0"/>
        <w:pageBreakBefore w:val="0"/>
        <w:kinsoku/>
        <w:wordWrap/>
        <w:overflowPunct/>
        <w:topLinePunct w:val="0"/>
        <w:autoSpaceDE/>
        <w:autoSpaceDN/>
        <w:bidi w:val="0"/>
        <w:spacing w:line="560" w:lineRule="exact"/>
        <w:ind w:left="0" w:leftChars="0" w:firstLine="640" w:firstLineChars="200"/>
        <w:textAlignment w:val="auto"/>
        <w:rPr>
          <w:rFonts w:hint="eastAsia" w:ascii="楷体_GB2312" w:hAnsi="楷体_GB2312" w:eastAsia="楷体_GB2312" w:cs="楷体_GB2312"/>
          <w:b w:val="0"/>
          <w:bCs w:val="0"/>
          <w:color w:val="auto"/>
          <w:kern w:val="2"/>
          <w:sz w:val="32"/>
          <w:szCs w:val="24"/>
          <w:lang w:val="en-US" w:eastAsia="zh-CN" w:bidi="ar-SA"/>
        </w:rPr>
      </w:pPr>
      <w:r>
        <w:rPr>
          <w:rFonts w:hint="eastAsia" w:ascii="楷体_GB2312" w:hAnsi="楷体_GB2312" w:eastAsia="楷体_GB2312" w:cs="楷体_GB2312"/>
          <w:b w:val="0"/>
          <w:bCs w:val="0"/>
          <w:color w:val="auto"/>
          <w:kern w:val="2"/>
          <w:sz w:val="32"/>
          <w:szCs w:val="24"/>
          <w:lang w:val="zh-TW" w:eastAsia="zh-CN" w:bidi="ar-SA"/>
        </w:rPr>
        <w:t>（一）建设高标准产业空间</w:t>
      </w:r>
    </w:p>
    <w:p>
      <w:pPr>
        <w:pStyle w:val="2"/>
        <w:keepNext w:val="0"/>
        <w:keepLines w:val="0"/>
        <w:pageBreakBefore w:val="0"/>
        <w:tabs>
          <w:tab w:val="left" w:pos="6720"/>
        </w:tabs>
        <w:kinsoku/>
        <w:wordWrap/>
        <w:overflowPunct/>
        <w:topLinePunct w:val="0"/>
        <w:autoSpaceDE/>
        <w:autoSpaceDN/>
        <w:bidi w:val="0"/>
        <w:spacing w:line="560" w:lineRule="exact"/>
        <w:ind w:left="0" w:leftChars="0" w:right="0" w:rightChars="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结合辖区12+4产业集群和三大先进制造业园区规划，推动形成12个产业集聚区，鼓励按照产业集聚区定位招引企业。编制具备更新潜力园区或片区清单，支持工业园区“工改M1”、严控“工改M0”。探索二三产业混合用地试点改革，引导工业园区提容提质，支持增加厂房建设比例、建设高质量及特殊需求厂房，以拓展整备更多高质量的产业空间，满足企业发展对空间的不同需求。</w:t>
      </w:r>
    </w:p>
    <w:p>
      <w:pPr>
        <w:pStyle w:val="2"/>
        <w:keepNext w:val="0"/>
        <w:keepLines w:val="0"/>
        <w:pageBreakBefore w:val="0"/>
        <w:kinsoku/>
        <w:wordWrap/>
        <w:overflowPunct/>
        <w:topLinePunct w:val="0"/>
        <w:autoSpaceDE/>
        <w:autoSpaceDN/>
        <w:bidi w:val="0"/>
        <w:spacing w:line="560" w:lineRule="exact"/>
        <w:ind w:left="0" w:leftChars="0" w:firstLine="640" w:firstLineChars="200"/>
        <w:textAlignment w:val="auto"/>
        <w:rPr>
          <w:rFonts w:hint="default" w:ascii="楷体_GB2312" w:hAnsi="楷体_GB2312" w:eastAsia="楷体_GB2312" w:cs="楷体_GB2312"/>
          <w:b w:val="0"/>
          <w:bCs w:val="0"/>
          <w:color w:val="auto"/>
          <w:kern w:val="2"/>
          <w:sz w:val="32"/>
          <w:szCs w:val="24"/>
          <w:lang w:val="en-US" w:eastAsia="zh-CN" w:bidi="ar-SA"/>
        </w:rPr>
      </w:pPr>
      <w:r>
        <w:rPr>
          <w:rFonts w:hint="eastAsia" w:ascii="楷体_GB2312" w:hAnsi="楷体_GB2312" w:eastAsia="楷体_GB2312" w:cs="楷体_GB2312"/>
          <w:b w:val="0"/>
          <w:bCs w:val="0"/>
          <w:color w:val="auto"/>
          <w:kern w:val="2"/>
          <w:sz w:val="32"/>
          <w:szCs w:val="24"/>
          <w:lang w:val="en-US" w:eastAsia="zh-CN" w:bidi="ar-SA"/>
        </w:rPr>
        <w:t>（二）</w:t>
      </w:r>
      <w:r>
        <w:rPr>
          <w:rFonts w:hint="eastAsia" w:ascii="楷体_GB2312" w:hAnsi="楷体_GB2312" w:eastAsia="楷体_GB2312" w:cs="楷体_GB2312"/>
          <w:b w:val="0"/>
          <w:bCs w:val="0"/>
          <w:color w:val="auto"/>
          <w:kern w:val="2"/>
          <w:sz w:val="32"/>
          <w:szCs w:val="24"/>
          <w:lang w:val="zh-TW" w:eastAsia="zh-CN" w:bidi="ar-SA"/>
        </w:rPr>
        <w:t>持续推进工业园区综合整治</w:t>
      </w:r>
    </w:p>
    <w:p>
      <w:pPr>
        <w:pStyle w:val="2"/>
        <w:keepNext w:val="0"/>
        <w:keepLines w:val="0"/>
        <w:pageBreakBefore w:val="0"/>
        <w:kinsoku/>
        <w:wordWrap/>
        <w:overflowPunct/>
        <w:topLinePunct w:val="0"/>
        <w:autoSpaceDE/>
        <w:autoSpaceDN/>
        <w:bidi w:val="0"/>
        <w:spacing w:line="560" w:lineRule="exact"/>
        <w:ind w:left="0" w:leftChars="0" w:right="0" w:rightChars="0" w:firstLine="640" w:firstLineChars="200"/>
        <w:textAlignment w:val="auto"/>
        <w:rPr>
          <w:rFonts w:hint="eastAsia" w:ascii="仿宋_GB2312" w:hAnsi="仿宋_GB2312" w:eastAsia="仿宋_GB2312" w:cs="仿宋_GB2312"/>
          <w:b w:val="0"/>
          <w:bCs w:val="0"/>
          <w:color w:val="auto"/>
          <w:kern w:val="2"/>
          <w:sz w:val="32"/>
          <w:szCs w:val="24"/>
          <w:lang w:val="zh-TW" w:eastAsia="zh-CN" w:bidi="ar-SA"/>
        </w:rPr>
      </w:pPr>
      <w:r>
        <w:rPr>
          <w:rFonts w:hint="eastAsia" w:ascii="仿宋_GB2312" w:hAnsi="仿宋_GB2312" w:eastAsia="仿宋_GB2312" w:cs="仿宋_GB2312"/>
          <w:b w:val="0"/>
          <w:bCs w:val="0"/>
          <w:color w:val="auto"/>
          <w:kern w:val="2"/>
          <w:sz w:val="32"/>
          <w:szCs w:val="24"/>
          <w:lang w:val="zh-TW" w:eastAsia="zh-CN" w:bidi="ar-SA"/>
        </w:rPr>
        <w:t>建立产业用房“工业区块线”，梳理建成时间不超过5年、已完成整治提升、获得省市区各类园区认定等园区形成现状保留园区清单台账，“十四五”期间不得进行拆除重建，重点承接区外企业引进、区内企业增资扩产、意向外迁企业安置等。根据《深圳市城市更新条例》有关旧工业区综合整治规定，适当简化旧工业区综合整治相关程序和要求，全面推进除除已纳入更新整备计划和现状保留园区外的其它旧工业园区开展综合整治，分类分步实施，助力工业园区升级改造，完善相关功能。</w:t>
      </w:r>
    </w:p>
    <w:p>
      <w:pPr>
        <w:pStyle w:val="2"/>
        <w:keepNext w:val="0"/>
        <w:keepLines w:val="0"/>
        <w:pageBreakBefore w:val="0"/>
        <w:kinsoku/>
        <w:wordWrap/>
        <w:overflowPunct/>
        <w:topLinePunct w:val="0"/>
        <w:autoSpaceDE/>
        <w:autoSpaceDN/>
        <w:bidi w:val="0"/>
        <w:spacing w:line="560" w:lineRule="exact"/>
        <w:ind w:left="0" w:leftChars="0" w:firstLine="640" w:firstLineChars="200"/>
        <w:textAlignment w:val="auto"/>
        <w:rPr>
          <w:rFonts w:hint="eastAsia" w:ascii="楷体_GB2312" w:hAnsi="楷体_GB2312" w:eastAsia="楷体_GB2312" w:cs="楷体_GB2312"/>
          <w:b w:val="0"/>
          <w:bCs w:val="0"/>
          <w:color w:val="auto"/>
          <w:kern w:val="2"/>
          <w:sz w:val="32"/>
          <w:szCs w:val="24"/>
          <w:lang w:val="zh-TW" w:eastAsia="zh-CN" w:bidi="ar-SA"/>
        </w:rPr>
      </w:pPr>
      <w:r>
        <w:rPr>
          <w:rFonts w:hint="eastAsia" w:ascii="楷体_GB2312" w:hAnsi="楷体_GB2312" w:eastAsia="楷体_GB2312" w:cs="楷体_GB2312"/>
          <w:b w:val="0"/>
          <w:bCs w:val="0"/>
          <w:color w:val="auto"/>
          <w:kern w:val="2"/>
          <w:sz w:val="32"/>
          <w:szCs w:val="24"/>
          <w:lang w:val="zh-TW" w:eastAsia="zh-CN" w:bidi="ar-SA"/>
        </w:rPr>
        <w:t>（三）</w:t>
      </w:r>
      <w:r>
        <w:rPr>
          <w:rFonts w:hint="eastAsia" w:ascii="楷体_GB2312" w:hAnsi="楷体_GB2312" w:eastAsia="楷体_GB2312" w:cs="楷体_GB2312"/>
          <w:b w:val="0"/>
          <w:bCs w:val="0"/>
          <w:color w:val="auto"/>
          <w:kern w:val="2"/>
          <w:sz w:val="32"/>
          <w:szCs w:val="24"/>
          <w:lang w:val="en-US" w:eastAsia="zh-CN" w:bidi="ar-SA"/>
        </w:rPr>
        <w:t>大力推进园区高质量发展</w:t>
      </w:r>
    </w:p>
    <w:p>
      <w:pPr>
        <w:pStyle w:val="2"/>
        <w:keepNext w:val="0"/>
        <w:keepLines w:val="0"/>
        <w:pageBreakBefore w:val="0"/>
        <w:kinsoku/>
        <w:wordWrap/>
        <w:overflowPunct/>
        <w:topLinePunct w:val="0"/>
        <w:autoSpaceDE/>
        <w:autoSpaceDN/>
        <w:bidi w:val="0"/>
        <w:spacing w:line="560" w:lineRule="exact"/>
        <w:ind w:left="0" w:leftChars="0" w:right="0" w:rightChars="0" w:firstLine="640" w:firstLineChars="200"/>
        <w:textAlignment w:val="auto"/>
        <w:rPr>
          <w:rFonts w:hint="eastAsia" w:ascii="楷体_GB2312" w:hAnsi="楷体_GB2312" w:eastAsia="楷体_GB2312" w:cs="楷体_GB2312"/>
          <w:b w:val="0"/>
          <w:bCs w:val="0"/>
          <w:color w:val="auto"/>
          <w:kern w:val="2"/>
          <w:sz w:val="32"/>
          <w:szCs w:val="24"/>
          <w:lang w:val="zh-TW" w:eastAsia="zh-CN" w:bidi="ar-SA"/>
        </w:rPr>
      </w:pPr>
      <w:r>
        <w:rPr>
          <w:rFonts w:hint="eastAsia" w:ascii="仿宋_GB2312" w:hAnsi="仿宋_GB2312" w:eastAsia="仿宋_GB2312" w:cs="仿宋_GB2312"/>
          <w:b w:val="0"/>
          <w:bCs w:val="0"/>
          <w:color w:val="auto"/>
          <w:kern w:val="2"/>
          <w:sz w:val="32"/>
          <w:szCs w:val="24"/>
          <w:lang w:val="zh-TW" w:eastAsia="zh-CN" w:bidi="ar-SA"/>
        </w:rPr>
        <w:t>分类加强园区租赁价格指导，引导区属国企园区租金不高于最近年度公布的租金参考价，其他各类型园区产权方或物业管理方合理约定租金，定期开展租金执法检查。鼓励国有集体园区长周期租赁，支持园区开展腾挪招引工程，实施“以高端换低端”、“以先进换落后”、“以低碳换污染”，提升入园企业质量，推动产业转型升级，符合并达到相关目标的给予补贴。</w:t>
      </w:r>
    </w:p>
    <w:p>
      <w:pPr>
        <w:pStyle w:val="2"/>
        <w:keepNext w:val="0"/>
        <w:keepLines w:val="0"/>
        <w:pageBreakBefore w:val="0"/>
        <w:kinsoku/>
        <w:wordWrap/>
        <w:overflowPunct/>
        <w:topLinePunct w:val="0"/>
        <w:autoSpaceDE/>
        <w:autoSpaceDN/>
        <w:bidi w:val="0"/>
        <w:spacing w:line="560" w:lineRule="exact"/>
        <w:ind w:left="0" w:leftChars="0" w:firstLine="640" w:firstLineChars="200"/>
        <w:textAlignment w:val="auto"/>
        <w:rPr>
          <w:rFonts w:hint="eastAsia" w:ascii="楷体_GB2312" w:hAnsi="楷体_GB2312" w:eastAsia="楷体_GB2312" w:cs="楷体_GB2312"/>
          <w:b w:val="0"/>
          <w:bCs w:val="0"/>
          <w:color w:val="auto"/>
          <w:kern w:val="2"/>
          <w:sz w:val="32"/>
          <w:szCs w:val="24"/>
          <w:lang w:val="zh-TW" w:eastAsia="zh-CN" w:bidi="ar-SA"/>
        </w:rPr>
      </w:pPr>
      <w:r>
        <w:rPr>
          <w:rFonts w:hint="eastAsia" w:ascii="楷体_GB2312" w:hAnsi="楷体_GB2312" w:eastAsia="楷体_GB2312" w:cs="楷体_GB2312"/>
          <w:b w:val="0"/>
          <w:bCs w:val="0"/>
          <w:color w:val="auto"/>
          <w:kern w:val="2"/>
          <w:sz w:val="32"/>
          <w:szCs w:val="24"/>
          <w:lang w:val="zh-TW" w:eastAsia="zh-CN" w:bidi="ar-SA"/>
        </w:rPr>
        <w:t>（四）强化园区专业化管理运营</w:t>
      </w:r>
    </w:p>
    <w:p>
      <w:pPr>
        <w:pStyle w:val="2"/>
        <w:keepNext w:val="0"/>
        <w:keepLines w:val="0"/>
        <w:pageBreakBefore w:val="0"/>
        <w:kinsoku/>
        <w:wordWrap/>
        <w:overflowPunct/>
        <w:topLinePunct w:val="0"/>
        <w:autoSpaceDE/>
        <w:autoSpaceDN/>
        <w:bidi w:val="0"/>
        <w:spacing w:line="560" w:lineRule="exact"/>
        <w:ind w:left="0" w:leftChars="0" w:right="0" w:rightChars="0" w:firstLine="640" w:firstLineChars="200"/>
        <w:textAlignment w:val="auto"/>
        <w:rPr>
          <w:rFonts w:hint="eastAsia" w:ascii="楷体_GB2312" w:hAnsi="楷体_GB2312" w:eastAsia="楷体_GB2312" w:cs="楷体_GB2312"/>
          <w:b w:val="0"/>
          <w:bCs w:val="0"/>
          <w:color w:val="auto"/>
          <w:kern w:val="2"/>
          <w:sz w:val="32"/>
          <w:szCs w:val="24"/>
          <w:lang w:val="zh-TW" w:eastAsia="zh-CN" w:bidi="ar-SA"/>
        </w:rPr>
      </w:pPr>
      <w:r>
        <w:rPr>
          <w:rFonts w:hint="eastAsia" w:ascii="仿宋_GB2312" w:hAnsi="仿宋_GB2312" w:eastAsia="仿宋_GB2312" w:cs="仿宋_GB2312"/>
          <w:b w:val="0"/>
          <w:bCs w:val="0"/>
          <w:color w:val="auto"/>
          <w:kern w:val="2"/>
          <w:sz w:val="32"/>
          <w:szCs w:val="24"/>
          <w:lang w:val="zh-TW" w:eastAsia="zh-CN" w:bidi="ar-SA"/>
        </w:rPr>
        <w:t>鼓励工业园区开展智慧化、绿色低碳园区建设，垒实园区基础设施底座，助力园区转型升级。鼓励区属国有企业与社会优秀专业园区管理运营单位合作，学习先进园区管理运营经验，设立专业化园区管理运营公司，通过区属国企“统租统管统招”模式,统筹整合集体物业产业空间，开展统一租赁、改造和管理试点，将集体物业打造成现代化产业园区。</w:t>
      </w:r>
    </w:p>
    <w:p>
      <w:pPr>
        <w:pStyle w:val="2"/>
        <w:keepNext w:val="0"/>
        <w:keepLines w:val="0"/>
        <w:pageBreakBefore w:val="0"/>
        <w:kinsoku/>
        <w:wordWrap/>
        <w:overflowPunct/>
        <w:topLinePunct w:val="0"/>
        <w:autoSpaceDE/>
        <w:autoSpaceDN/>
        <w:bidi w:val="0"/>
        <w:spacing w:line="560" w:lineRule="exact"/>
        <w:ind w:left="0" w:leftChars="0" w:firstLine="640" w:firstLineChars="200"/>
        <w:textAlignment w:val="auto"/>
        <w:rPr>
          <w:rFonts w:hint="eastAsia" w:ascii="楷体_GB2312" w:hAnsi="楷体_GB2312" w:eastAsia="楷体_GB2312" w:cs="楷体_GB2312"/>
          <w:b w:val="0"/>
          <w:bCs w:val="0"/>
          <w:color w:val="auto"/>
          <w:kern w:val="2"/>
          <w:sz w:val="32"/>
          <w:szCs w:val="24"/>
          <w:lang w:val="en-US" w:eastAsia="zh-CN" w:bidi="ar-SA"/>
        </w:rPr>
      </w:pPr>
      <w:r>
        <w:rPr>
          <w:rFonts w:hint="eastAsia" w:ascii="楷体_GB2312" w:hAnsi="楷体_GB2312" w:eastAsia="楷体_GB2312" w:cs="楷体_GB2312"/>
          <w:b w:val="0"/>
          <w:bCs w:val="0"/>
          <w:color w:val="auto"/>
          <w:kern w:val="2"/>
          <w:sz w:val="32"/>
          <w:szCs w:val="24"/>
          <w:lang w:val="en-US" w:eastAsia="zh-CN" w:bidi="ar-SA"/>
        </w:rPr>
        <w:t>（五）构建精准主动服务体系</w:t>
      </w:r>
    </w:p>
    <w:p>
      <w:pPr>
        <w:pStyle w:val="2"/>
        <w:keepNext w:val="0"/>
        <w:keepLines w:val="0"/>
        <w:pageBreakBefore w:val="0"/>
        <w:numPr>
          <w:ilvl w:val="0"/>
          <w:numId w:val="0"/>
        </w:numPr>
        <w:kinsoku/>
        <w:wordWrap/>
        <w:overflowPunct/>
        <w:topLinePunct w:val="0"/>
        <w:autoSpaceDE/>
        <w:autoSpaceDN/>
        <w:bidi w:val="0"/>
        <w:spacing w:line="560" w:lineRule="exact"/>
        <w:ind w:right="0" w:rightChars="0"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推动工业园区建设企业服务站，将企业服务站打造成为提供涵盖商事登记、项目审批、政策咨询、会计法务、融资对接、物业租赁、中介服务等企业经营高频事项的综合性产业服务平台，增强园区服务企业能力和水平。支持园区管理运营单位举办或参加招商引资会、产业峰会、展览展出会、政策宣讲会等各类活动，按照“1+N+S”政策有关规定给予补贴，力争将龙华打造成为服务深圳乃至粤港澳大湾区的检验检测认证中试公共服务集聚高地。</w:t>
      </w:r>
    </w:p>
    <w:p>
      <w:pPr>
        <w:pStyle w:val="2"/>
        <w:keepNext w:val="0"/>
        <w:keepLines w:val="0"/>
        <w:pageBreakBefore w:val="0"/>
        <w:kinsoku/>
        <w:wordWrap/>
        <w:overflowPunct/>
        <w:topLinePunct w:val="0"/>
        <w:autoSpaceDE/>
        <w:autoSpaceDN/>
        <w:bidi w:val="0"/>
        <w:spacing w:line="560" w:lineRule="exact"/>
        <w:ind w:left="0" w:lef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专此说明。</w:t>
      </w:r>
    </w:p>
    <w:sectPr>
      <w:footerReference r:id="rId3" w:type="default"/>
      <w:pgSz w:w="11906" w:h="16838"/>
      <w:pgMar w:top="1440" w:right="1706"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01"/>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Tahoma">
    <w:altName w:val="DejaVu Sans"/>
    <w:panose1 w:val="020B0604030504040204"/>
    <w:charset w:val="00"/>
    <w:family w:val="swiss"/>
    <w:pitch w:val="default"/>
    <w:sig w:usb0="00000000" w:usb1="00000000" w:usb2="00000029" w:usb3="00000000" w:csb0="000101FF" w:csb1="00000000"/>
  </w:font>
  <w:font w:name="微软雅黑">
    <w:altName w:val="方正黑体_GBK"/>
    <w:panose1 w:val="020B0503020204020204"/>
    <w:charset w:val="00"/>
    <w:family w:val="swiss"/>
    <w:pitch w:val="default"/>
    <w:sig w:usb0="00000000" w:usb1="00000000" w:usb2="00000016" w:usb3="00000000" w:csb0="0004001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_GB2312">
    <w:altName w:val="方正楷体_GBK"/>
    <w:panose1 w:val="02010609030101010101"/>
    <w:charset w:val="00"/>
    <w:family w:val="auto"/>
    <w:pitch w:val="default"/>
    <w:sig w:usb0="00000000" w:usb1="00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黑体_GBK">
    <w:panose1 w:val="02000000000000000000"/>
    <w:charset w:val="86"/>
    <w:family w:val="auto"/>
    <w:pitch w:val="default"/>
    <w:sig w:usb0="00000001" w:usb1="08000000" w:usb2="00000000" w:usb3="00000000" w:csb0="00040000" w:csb1="00000000"/>
  </w:font>
  <w:font w:name="方正楷体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8240" behindDoc="0" locked="0" layoutInCell="1" allowOverlap="1">
              <wp:simplePos x="0" y="0"/>
              <wp:positionH relativeFrom="margin">
                <wp:align>inside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1</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inside;mso-position-horizontal-relative:margin;mso-wrap-style:none;z-index:251658240;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FgAAAGRycy9QSwECFAAUAAAACACH&#10;TuJAs0lY7tAAAAAFAQAADwAAAAAAAAABACAAAAA4AAAAZHJzL2Rvd25yZXYueG1sUEsBAhQAFAAA&#10;AAgAh07iQCYa0m4aAgAAKQQAAA4AAAAAAAAAAQAgAAAANQEAAGRycy9lMm9Eb2MueG1sUEsFBgAA&#10;AAAGAAYAWQEAAMEFAAAAAA==&#10;">
              <v:fill on="f" focussize="0,0"/>
              <v:stroke on="f" weight="0.5pt"/>
              <v:imagedata o:title=""/>
              <o:lock v:ext="edit" aspectratio="f"/>
              <v:textbox inset="0mm,0mm,0mm,0mm" style="mso-fit-shape-to-text:t;">
                <w:txbxContent>
                  <w:p>
                    <w:pPr>
                      <w:pStyle w:val="3"/>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1</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4BB8E8E"/>
    <w:multiLevelType w:val="singleLevel"/>
    <w:tmpl w:val="F4BB8E8E"/>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A1947CF"/>
    <w:rsid w:val="12B704D4"/>
    <w:rsid w:val="13EF95E6"/>
    <w:rsid w:val="1F3F4967"/>
    <w:rsid w:val="2CBF8534"/>
    <w:rsid w:val="2FCB8EF3"/>
    <w:rsid w:val="2FCDE4C5"/>
    <w:rsid w:val="355FCA5A"/>
    <w:rsid w:val="37DDE44E"/>
    <w:rsid w:val="37F8051B"/>
    <w:rsid w:val="3FF5B6FE"/>
    <w:rsid w:val="4A1947CF"/>
    <w:rsid w:val="4ABF3D24"/>
    <w:rsid w:val="533D9BAB"/>
    <w:rsid w:val="56F56CFB"/>
    <w:rsid w:val="5CF7C899"/>
    <w:rsid w:val="5EF7ECE4"/>
    <w:rsid w:val="5F7F8F50"/>
    <w:rsid w:val="5FFA8379"/>
    <w:rsid w:val="5FFD3856"/>
    <w:rsid w:val="63DF0888"/>
    <w:rsid w:val="6EAAE3E2"/>
    <w:rsid w:val="719704B7"/>
    <w:rsid w:val="73EECC37"/>
    <w:rsid w:val="757DEFE3"/>
    <w:rsid w:val="779F0685"/>
    <w:rsid w:val="77EC0FB9"/>
    <w:rsid w:val="797F7405"/>
    <w:rsid w:val="7D5FE2E9"/>
    <w:rsid w:val="7DAC0153"/>
    <w:rsid w:val="7E2F03AD"/>
    <w:rsid w:val="7E444125"/>
    <w:rsid w:val="7EFB869C"/>
    <w:rsid w:val="7F324671"/>
    <w:rsid w:val="7FB71DFB"/>
    <w:rsid w:val="7FEE51CB"/>
    <w:rsid w:val="7FF3F671"/>
    <w:rsid w:val="7FFEC8B4"/>
    <w:rsid w:val="8E7D7F55"/>
    <w:rsid w:val="94FE7D82"/>
    <w:rsid w:val="9DBFDB02"/>
    <w:rsid w:val="A76C5F89"/>
    <w:rsid w:val="B5BCB87E"/>
    <w:rsid w:val="BF61ACC9"/>
    <w:rsid w:val="BF7B0693"/>
    <w:rsid w:val="BFCFDA9A"/>
    <w:rsid w:val="BFFF0191"/>
    <w:rsid w:val="CE920F49"/>
    <w:rsid w:val="EBAFE205"/>
    <w:rsid w:val="EDAD1085"/>
    <w:rsid w:val="EFFF7A11"/>
    <w:rsid w:val="F2BEBEFE"/>
    <w:rsid w:val="F3FF4B78"/>
    <w:rsid w:val="F78A7FEA"/>
    <w:rsid w:val="F7D18D59"/>
    <w:rsid w:val="F9F7AAD2"/>
    <w:rsid w:val="FDFEA78F"/>
    <w:rsid w:val="FE6D9575"/>
    <w:rsid w:val="FEF7B597"/>
    <w:rsid w:val="FF5D7B16"/>
    <w:rsid w:val="FFBFF2B0"/>
    <w:rsid w:val="FFFBF03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lock Text"/>
    <w:basedOn w:val="1"/>
    <w:qFormat/>
    <w:uiPriority w:val="0"/>
    <w:pPr>
      <w:widowControl/>
      <w:tabs>
        <w:tab w:val="left" w:pos="426"/>
      </w:tabs>
      <w:adjustRightInd w:val="0"/>
      <w:snapToGrid w:val="0"/>
      <w:spacing w:after="120"/>
      <w:ind w:left="1440" w:leftChars="700" w:right="1440" w:rightChars="700"/>
      <w:jc w:val="left"/>
    </w:pPr>
    <w:rPr>
      <w:rFonts w:ascii="Tahoma" w:hAnsi="Tahoma" w:eastAsia="微软雅黑" w:cs="Times New Roman"/>
      <w:kern w:val="0"/>
      <w:sz w:val="22"/>
      <w:szCs w:val="22"/>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pPr>
      <w:spacing w:before="100" w:beforeAutospacing="1" w:after="100" w:afterAutospacing="1"/>
      <w:ind w:left="0" w:right="0"/>
      <w:jc w:val="left"/>
    </w:pPr>
    <w:rPr>
      <w:kern w:val="0"/>
      <w:sz w:val="24"/>
      <w:lang w:val="en-US" w:eastAsia="zh-CN" w:bidi="ar"/>
    </w:rPr>
  </w:style>
  <w:style w:type="paragraph" w:styleId="8">
    <w:name w:val="List Paragraph"/>
    <w:basedOn w:val="1"/>
    <w:qFormat/>
    <w:uiPriority w:val="34"/>
    <w:pPr>
      <w:spacing w:line="360" w:lineRule="auto"/>
      <w:ind w:firstLine="420" w:firstLineChars="200"/>
    </w:pPr>
    <w:rPr>
      <w:rFonts w:ascii="Times New Roman" w:hAnsi="Times New Roman" w:cs="Times New Roman"/>
      <w:sz w:val="32"/>
      <w:szCs w:val="22"/>
    </w:rPr>
  </w:style>
  <w:style w:type="paragraph" w:customStyle="1" w:styleId="9">
    <w:name w:val="正文空2字"/>
    <w:basedOn w:val="10"/>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10">
    <w:name w:val="左对齐正文"/>
    <w:qFormat/>
    <w:uiPriority w:val="99"/>
    <w:pPr>
      <w:spacing w:after="160" w:line="259" w:lineRule="auto"/>
    </w:pPr>
    <w:rPr>
      <w:rFonts w:ascii="Calibri" w:hAnsi="Calibri" w:eastAsia="仿宋_GB2312" w:cs="Calibri"/>
      <w:kern w:val="2"/>
      <w:sz w:val="32"/>
      <w:szCs w:val="32"/>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Office_11.8.2.10458_F1E327BC-269C-435d-A152-05C5408002CA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2018-07-12T07:11:00Z</dcterms:created>
  <dc:creator>d</dc:creator>
  <cp:lastModifiedBy>leiliubao</cp:lastModifiedBy>
  <dcterms:modified xsi:type="dcterms:W3CDTF">2023-05-18T09:05:31Z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2052-11.8.2.10458</vt:lpwstr>
  </property>
</Properties>
</file>