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color w:val="000000" w:themeColor="text1"/>
          <w:sz w:val="32"/>
          <w:szCs w:val="32"/>
          <w:lang w:val="en-US" w:eastAsia="zh-CN"/>
          <w14:textFill>
            <w14:solidFill>
              <w14:schemeClr w14:val="tx1"/>
            </w14:solidFill>
          </w14:textFill>
        </w:rPr>
      </w:pPr>
      <w:r>
        <w:rPr>
          <w:rFonts w:hint="eastAsia" w:ascii="黑体" w:hAnsi="黑体" w:eastAsia="黑体" w:cs="黑体"/>
          <w:b w:val="0"/>
          <w:color w:val="000000" w:themeColor="text1"/>
          <w:sz w:val="32"/>
          <w:szCs w:val="32"/>
          <w:lang w:val="en" w:eastAsia="zh-CN"/>
          <w14:textFill>
            <w14:solidFill>
              <w14:schemeClr w14:val="tx1"/>
            </w14:solidFill>
          </w14:textFill>
        </w:rPr>
        <w:t>附件</w:t>
      </w:r>
      <w:r>
        <w:rPr>
          <w:rFonts w:hint="eastAsia" w:ascii="黑体" w:hAnsi="黑体" w:eastAsia="黑体" w:cs="黑体"/>
          <w:b w:val="0"/>
          <w:color w:val="000000" w:themeColor="text1"/>
          <w:sz w:val="32"/>
          <w:szCs w:val="32"/>
          <w:lang w:val="en-US" w:eastAsia="zh-CN"/>
          <w14:textFill>
            <w14:solidFill>
              <w14:schemeClr w14:val="tx1"/>
            </w14:solidFill>
          </w14:textFill>
        </w:rPr>
        <w:t>2</w:t>
      </w:r>
    </w:p>
    <w:p>
      <w:pPr>
        <w:jc w:val="left"/>
        <w:rPr>
          <w:rFonts w:hint="eastAsia" w:ascii="黑体" w:hAnsi="黑体" w:eastAsia="黑体" w:cs="黑体"/>
          <w:b w:val="0"/>
          <w:color w:val="000000" w:themeColor="text1"/>
          <w:sz w:val="32"/>
          <w:szCs w:val="32"/>
          <w:lang w:val="en-US" w:eastAsia="zh-CN"/>
          <w14:textFill>
            <w14:solidFill>
              <w14:schemeClr w14:val="tx1"/>
            </w14:solidFill>
          </w14:textFill>
        </w:rPr>
      </w:pPr>
    </w:p>
    <w:p>
      <w:pPr>
        <w:rPr>
          <w:rFonts w:hint="eastAsia" w:ascii="方正小标宋简体" w:eastAsia="方正小标宋简体"/>
          <w:b w:val="0"/>
          <w:color w:val="000000" w:themeColor="text1"/>
          <w14:textFill>
            <w14:solidFill>
              <w14:schemeClr w14:val="tx1"/>
            </w14:solidFill>
          </w14:textFill>
        </w:rPr>
      </w:pPr>
      <w:r>
        <w:rPr>
          <w:rFonts w:hint="eastAsia" w:ascii="方正小标宋简体" w:eastAsia="方正小标宋简体"/>
          <w:b w:val="0"/>
          <w:color w:val="000000" w:themeColor="text1"/>
          <w14:textFill>
            <w14:solidFill>
              <w14:schemeClr w14:val="tx1"/>
            </w14:solidFill>
          </w14:textFill>
        </w:rPr>
        <w:t>《龙华区工业上楼项目企业入驻管理实施</w:t>
      </w:r>
    </w:p>
    <w:p>
      <w:pPr>
        <w:rPr>
          <w:rFonts w:cs="宋体"/>
          <w:b w:val="0"/>
          <w:color w:val="000000" w:themeColor="text1"/>
          <w14:textFill>
            <w14:solidFill>
              <w14:schemeClr w14:val="tx1"/>
            </w14:solidFill>
          </w14:textFill>
        </w:rPr>
      </w:pPr>
      <w:r>
        <w:rPr>
          <w:rFonts w:hint="eastAsia" w:ascii="方正小标宋简体" w:eastAsia="方正小标宋简体"/>
          <w:b w:val="0"/>
          <w:color w:val="000000" w:themeColor="text1"/>
          <w14:textFill>
            <w14:solidFill>
              <w14:schemeClr w14:val="tx1"/>
            </w14:solidFill>
          </w14:textFill>
        </w:rPr>
        <w:t>细则</w:t>
      </w:r>
      <w:r>
        <w:rPr>
          <w:rFonts w:hint="eastAsia" w:ascii="方正小标宋简体" w:eastAsia="方正小标宋简体"/>
          <w:b w:val="0"/>
          <w:color w:val="000000" w:themeColor="text1"/>
          <w:lang w:eastAsia="zh-CN"/>
          <w14:textFill>
            <w14:solidFill>
              <w14:schemeClr w14:val="tx1"/>
            </w14:solidFill>
          </w14:textFill>
        </w:rPr>
        <w:t>（试行）</w:t>
      </w:r>
      <w:r>
        <w:rPr>
          <w:rFonts w:hint="eastAsia" w:ascii="方正小标宋简体" w:eastAsia="方正小标宋简体"/>
          <w:b w:val="0"/>
          <w:color w:val="000000" w:themeColor="text1"/>
          <w14:textFill>
            <w14:solidFill>
              <w14:schemeClr w14:val="tx1"/>
            </w14:solidFill>
          </w14:textFill>
        </w:rPr>
        <w:t>》编制说明</w:t>
      </w:r>
    </w:p>
    <w:p>
      <w:pPr>
        <w:spacing w:line="579" w:lineRule="exact"/>
        <w:ind w:firstLine="642" w:firstLineChars="200"/>
        <w:jc w:val="left"/>
        <w:rPr>
          <w:rFonts w:ascii="黑体" w:hAnsi="黑体" w:eastAsia="黑体"/>
          <w:color w:val="000000" w:themeColor="text1"/>
          <w:sz w:val="32"/>
          <w:szCs w:val="32"/>
          <w14:textFill>
            <w14:solidFill>
              <w14:schemeClr w14:val="tx1"/>
            </w14:solidFill>
          </w14:textFill>
        </w:rPr>
      </w:pPr>
    </w:p>
    <w:p>
      <w:pPr>
        <w:pStyle w:val="11"/>
        <w:ind w:firstLine="645"/>
      </w:pPr>
      <w:r>
        <w:rPr>
          <w:rFonts w:hint="eastAsia"/>
        </w:rPr>
        <w:t>根据《深圳市人民政府关于印发深圳市“工业上楼”项目审批实施方案的通知》（深府函〔2023〕20号）《深圳市人民政府关于印发深圳市优质产业空间供给试点改革方案的通知》（深府函〔2021〕43号）《深圳市人民政府关于发展壮大战略性新兴产业集群和培育发展未来产业的意见》（深府〔2022〕1号）《深圳市20大先进制造业园区空间布局规划》等文件精神，我局编制了《龙华区工业上楼项目企业入驻管理实施细则</w:t>
      </w:r>
      <w:r>
        <w:rPr>
          <w:rFonts w:hint="eastAsia"/>
          <w:lang w:eastAsia="zh-CN"/>
        </w:rPr>
        <w:t>（试行）（征求意见稿）</w:t>
      </w:r>
      <w:r>
        <w:rPr>
          <w:rFonts w:hint="eastAsia"/>
        </w:rPr>
        <w:t>》</w:t>
      </w:r>
      <w:r>
        <w:rPr>
          <w:rFonts w:hint="eastAsia"/>
          <w:lang w:eastAsia="zh-CN"/>
        </w:rPr>
        <w:t>（</w:t>
      </w:r>
      <w:r>
        <w:rPr>
          <w:rFonts w:hint="eastAsia"/>
        </w:rPr>
        <w:t>以下简称《实施细则》</w:t>
      </w:r>
      <w:r>
        <w:rPr>
          <w:rFonts w:hint="eastAsia"/>
          <w:lang w:eastAsia="zh-CN"/>
        </w:rPr>
        <w:t>）</w:t>
      </w:r>
      <w:r>
        <w:rPr>
          <w:rFonts w:hint="eastAsia"/>
        </w:rPr>
        <w:t>。现将《实施细则》编制情况说明如下：</w:t>
      </w:r>
    </w:p>
    <w:p>
      <w:pPr>
        <w:pStyle w:val="2"/>
        <w:spacing w:before="0" w:beforeLines="0" w:after="0" w:afterLines="0" w:line="360" w:lineRule="auto"/>
        <w:ind w:firstLine="640"/>
        <w:rPr>
          <w:rFonts w:ascii="黑体" w:hAnsi="黑体" w:eastAsia="黑体" w:cs="黑体"/>
          <w:b w:val="0"/>
          <w:szCs w:val="32"/>
        </w:rPr>
      </w:pPr>
      <w:r>
        <w:rPr>
          <w:rFonts w:hint="eastAsia" w:ascii="黑体" w:hAnsi="黑体" w:eastAsia="黑体" w:cs="黑体"/>
          <w:b w:val="0"/>
          <w:szCs w:val="32"/>
        </w:rPr>
        <w:t>一、编制背景及必要性</w:t>
      </w:r>
    </w:p>
    <w:p>
      <w:pPr>
        <w:pStyle w:val="11"/>
        <w:ind w:firstLine="645"/>
        <w:rPr>
          <w:rFonts w:hint="eastAsia" w:ascii="仿宋_GB2312" w:hAnsi="仿宋_GB2312" w:eastAsia="仿宋_GB2312" w:cs="仿宋_GB2312"/>
          <w:color w:val="auto"/>
          <w:sz w:val="32"/>
          <w:szCs w:val="32"/>
          <w:highlight w:val="none"/>
        </w:rPr>
      </w:pPr>
      <w:r>
        <w:rPr>
          <w:rFonts w:hint="eastAsia" w:hAnsi="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全面贯彻党的二十大精神</w:t>
      </w:r>
      <w:r>
        <w:rPr>
          <w:rFonts w:hint="default" w:hAnsi="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深入贯彻习近平总书记对广东、深圳系列重要讲话、重要指示精神和关于制造业高质量发展的重要论述</w:t>
      </w:r>
      <w:r>
        <w:rPr>
          <w:rFonts w:hint="default" w:hAnsi="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全面落实广东省关于促进工业经济平稳增长相关决策</w:t>
      </w:r>
      <w:r>
        <w:rPr>
          <w:rFonts w:hint="eastAsia" w:hAnsi="仿宋_GB2312" w:cs="仿宋_GB2312"/>
          <w:color w:val="auto"/>
          <w:sz w:val="32"/>
          <w:szCs w:val="32"/>
          <w:highlight w:val="none"/>
          <w:lang w:eastAsia="zh-CN"/>
        </w:rPr>
        <w:t>，深圳</w:t>
      </w:r>
      <w:r>
        <w:rPr>
          <w:rFonts w:hint="eastAsia" w:ascii="仿宋_GB2312" w:hAnsi="仿宋_GB2312" w:eastAsia="仿宋_GB2312" w:cs="仿宋_GB2312"/>
          <w:color w:val="auto"/>
          <w:sz w:val="32"/>
          <w:szCs w:val="32"/>
          <w:highlight w:val="none"/>
        </w:rPr>
        <w:t>市委市政府</w:t>
      </w:r>
      <w:r>
        <w:rPr>
          <w:rFonts w:hint="eastAsia" w:hAnsi="仿宋_GB2312" w:cs="仿宋_GB2312"/>
          <w:color w:val="auto"/>
          <w:sz w:val="32"/>
          <w:szCs w:val="32"/>
          <w:highlight w:val="none"/>
          <w:lang w:eastAsia="zh-CN"/>
        </w:rPr>
        <w:t>做出</w:t>
      </w:r>
      <w:r>
        <w:rPr>
          <w:rFonts w:hint="eastAsia" w:ascii="仿宋_GB2312" w:hAnsi="仿宋_GB2312" w:eastAsia="仿宋_GB2312" w:cs="仿宋_GB2312"/>
          <w:color w:val="auto"/>
          <w:sz w:val="32"/>
          <w:szCs w:val="32"/>
          <w:highlight w:val="none"/>
        </w:rPr>
        <w:t>关于做大做强“20+8”战略性新兴产业集群和未来产业</w:t>
      </w:r>
      <w:r>
        <w:rPr>
          <w:rFonts w:hint="default" w:hAnsi="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高水平规划建设20个先进制造业园区</w:t>
      </w:r>
      <w:r>
        <w:rPr>
          <w:rFonts w:hint="default" w:hAnsi="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大力实施“工业上楼”行动计划的工作部署</w:t>
      </w:r>
      <w:r>
        <w:rPr>
          <w:rFonts w:hint="default" w:hAnsi="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进一步促进产业用地节约集约利用</w:t>
      </w:r>
      <w:r>
        <w:rPr>
          <w:rFonts w:hint="default" w:hAnsi="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拓展产业发展空间</w:t>
      </w:r>
      <w:r>
        <w:rPr>
          <w:rFonts w:hint="eastAsia" w:hAnsi="仿宋_GB2312" w:cs="仿宋_GB2312"/>
          <w:color w:val="auto"/>
          <w:sz w:val="32"/>
          <w:szCs w:val="32"/>
          <w:highlight w:val="none"/>
          <w:lang w:eastAsia="zh-CN"/>
        </w:rPr>
        <w:t>，并</w:t>
      </w:r>
      <w:r>
        <w:rPr>
          <w:rFonts w:hint="eastAsia" w:ascii="仿宋_GB2312" w:hAnsi="仿宋_GB2312" w:eastAsia="仿宋_GB2312" w:cs="仿宋_GB2312"/>
          <w:color w:val="auto"/>
          <w:sz w:val="32"/>
          <w:szCs w:val="32"/>
          <w:highlight w:val="none"/>
        </w:rPr>
        <w:t>坚持“工业立市、制造强市”战略方针</w:t>
      </w:r>
      <w:r>
        <w:rPr>
          <w:rFonts w:hint="default" w:hAnsi="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遵循“三生融合”、“三创结合”、“三个平衡”的现代产业园区要求</w:t>
      </w:r>
      <w:r>
        <w:rPr>
          <w:rFonts w:hint="default" w:hAnsi="仿宋_GB2312" w:cs="仿宋_GB2312"/>
          <w:color w:val="auto"/>
          <w:sz w:val="32"/>
          <w:szCs w:val="32"/>
          <w:highlight w:val="none"/>
          <w:lang w:val="en"/>
        </w:rPr>
        <w:t>，</w:t>
      </w:r>
      <w:r>
        <w:rPr>
          <w:rFonts w:hint="eastAsia" w:hAnsi="仿宋_GB2312" w:cs="仿宋_GB2312"/>
          <w:color w:val="auto"/>
          <w:sz w:val="32"/>
          <w:szCs w:val="32"/>
          <w:highlight w:val="none"/>
          <w:lang w:val="en" w:eastAsia="zh-CN"/>
        </w:rPr>
        <w:t>将</w:t>
      </w:r>
      <w:r>
        <w:rPr>
          <w:rFonts w:hint="eastAsia" w:ascii="仿宋_GB2312" w:hAnsi="仿宋_GB2312" w:eastAsia="仿宋_GB2312" w:cs="仿宋_GB2312"/>
          <w:color w:val="auto"/>
          <w:sz w:val="32"/>
          <w:szCs w:val="32"/>
          <w:highlight w:val="none"/>
        </w:rPr>
        <w:t>连续5年每年提供不少于2000万平方米高品质、低成本、定制化产业空间的工作目标</w:t>
      </w:r>
      <w:r>
        <w:rPr>
          <w:rFonts w:hint="default" w:hAnsi="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为全市制造业发展提供坚实支撑。</w:t>
      </w:r>
    </w:p>
    <w:p>
      <w:pPr>
        <w:pStyle w:val="11"/>
        <w:ind w:firstLine="645"/>
        <w:rPr>
          <w:rFonts w:hint="eastAsia" w:ascii="仿宋_GB2312" w:hAnsi="仿宋_GB2312" w:eastAsia="仿宋_GB2312" w:cs="仿宋_GB2312"/>
          <w:color w:val="auto"/>
          <w:sz w:val="32"/>
          <w:szCs w:val="32"/>
          <w:highlight w:val="none"/>
        </w:rPr>
      </w:pPr>
      <w:r>
        <w:rPr>
          <w:rFonts w:hint="default" w:hAnsi="仿宋_GB2312" w:cs="仿宋_GB2312"/>
          <w:color w:val="auto"/>
          <w:sz w:val="32"/>
          <w:szCs w:val="32"/>
          <w:highlight w:val="none"/>
          <w:lang w:val="en"/>
        </w:rPr>
        <w:t>龙华区</w:t>
      </w:r>
      <w:r>
        <w:rPr>
          <w:rFonts w:hint="eastAsia" w:hAnsi="仿宋_GB2312" w:cs="仿宋_GB2312"/>
          <w:color w:val="auto"/>
          <w:sz w:val="32"/>
          <w:szCs w:val="32"/>
          <w:highlight w:val="none"/>
          <w:lang w:eastAsia="zh-CN"/>
        </w:rPr>
        <w:t>积极</w:t>
      </w:r>
      <w:r>
        <w:rPr>
          <w:rFonts w:hint="eastAsia" w:ascii="仿宋_GB2312" w:hAnsi="仿宋_GB2312" w:eastAsia="仿宋_GB2312" w:cs="仿宋_GB2312"/>
          <w:color w:val="auto"/>
          <w:sz w:val="32"/>
          <w:szCs w:val="32"/>
          <w:u w:val="none"/>
        </w:rPr>
        <w:t>贯彻落实市委市政府“盘活空间、提质增效、集约发展”的工作部署，坚持制造业立区之本，推动1</w:t>
      </w:r>
      <w:r>
        <w:rPr>
          <w:rFonts w:hint="eastAsia" w:hAnsi="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w:t>
      </w:r>
      <w:r>
        <w:rPr>
          <w:rFonts w:hint="eastAsia" w:hAnsi="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产业集群和三大先进制造业园区发展，实现高端制造业企业需求与</w:t>
      </w:r>
      <w:r>
        <w:rPr>
          <w:rFonts w:hint="eastAsia" w:ascii="仿宋_GB2312" w:hAnsi="仿宋_GB2312" w:eastAsia="仿宋_GB2312" w:cs="仿宋_GB2312"/>
          <w:color w:val="auto"/>
          <w:sz w:val="32"/>
          <w:szCs w:val="32"/>
          <w:u w:val="none"/>
          <w:lang w:eastAsia="zh-CN"/>
        </w:rPr>
        <w:t>工业上楼项目</w:t>
      </w:r>
      <w:r>
        <w:rPr>
          <w:rFonts w:hint="eastAsia" w:ascii="仿宋_GB2312" w:hAnsi="仿宋_GB2312" w:eastAsia="仿宋_GB2312" w:cs="仿宋_GB2312"/>
          <w:color w:val="auto"/>
          <w:sz w:val="32"/>
          <w:szCs w:val="32"/>
          <w:u w:val="none"/>
        </w:rPr>
        <w:t>供给精准匹配</w:t>
      </w:r>
      <w:r>
        <w:rPr>
          <w:rFonts w:hint="eastAsia" w:hAnsi="仿宋_GB2312" w:cs="仿宋_GB2312"/>
          <w:color w:val="auto"/>
          <w:sz w:val="32"/>
          <w:szCs w:val="32"/>
          <w:u w:val="none"/>
          <w:lang w:eastAsia="zh-CN"/>
        </w:rPr>
        <w:t>，</w:t>
      </w:r>
      <w:r>
        <w:rPr>
          <w:rFonts w:hint="eastAsia" w:ascii="仿宋_GB2312" w:hAnsi="仿宋_GB2312" w:eastAsia="仿宋_GB2312" w:cs="仿宋_GB2312"/>
          <w:color w:val="auto"/>
          <w:sz w:val="32"/>
          <w:szCs w:val="32"/>
          <w:highlight w:val="none"/>
        </w:rPr>
        <w:t>拟按照“低成本开发+高质量建设+准成本提供”的优质产业空间供给模式，</w:t>
      </w:r>
      <w:r>
        <w:rPr>
          <w:rFonts w:hint="eastAsia" w:ascii="仿宋_GB2312" w:hAnsi="仿宋_GB2312" w:eastAsia="仿宋_GB2312" w:cs="仿宋_GB2312"/>
          <w:color w:val="auto"/>
          <w:sz w:val="32"/>
          <w:szCs w:val="32"/>
          <w:highlight w:val="none"/>
          <w:lang w:eastAsia="zh-CN"/>
        </w:rPr>
        <w:t>将龙华区工业上楼试点项目</w:t>
      </w:r>
      <w:r>
        <w:rPr>
          <w:rFonts w:hint="eastAsia" w:ascii="仿宋_GB2312" w:hAnsi="仿宋_GB2312" w:eastAsia="仿宋_GB2312" w:cs="仿宋_GB2312"/>
          <w:color w:val="auto"/>
          <w:sz w:val="32"/>
          <w:szCs w:val="32"/>
          <w:highlight w:val="none"/>
        </w:rPr>
        <w:t>面向符合条件的企业进行分割销售</w:t>
      </w:r>
      <w:r>
        <w:rPr>
          <w:rFonts w:hint="eastAsia" w:hAnsi="仿宋_GB2312" w:cs="仿宋_GB2312"/>
          <w:color w:val="auto"/>
          <w:sz w:val="32"/>
          <w:szCs w:val="32"/>
          <w:highlight w:val="none"/>
          <w:lang w:eastAsia="zh-CN"/>
        </w:rPr>
        <w:t>或</w:t>
      </w:r>
      <w:r>
        <w:rPr>
          <w:rFonts w:hint="eastAsia" w:ascii="仿宋_GB2312" w:hAnsi="仿宋_GB2312" w:eastAsia="仿宋_GB2312" w:cs="仿宋_GB2312"/>
          <w:color w:val="auto"/>
          <w:sz w:val="32"/>
          <w:szCs w:val="32"/>
          <w:highlight w:val="none"/>
          <w:lang w:eastAsia="zh-CN"/>
        </w:rPr>
        <w:t>租赁</w:t>
      </w:r>
      <w:r>
        <w:rPr>
          <w:rFonts w:hint="eastAsia" w:ascii="仿宋_GB2312" w:hAnsi="仿宋_GB2312" w:eastAsia="仿宋_GB2312" w:cs="仿宋_GB2312"/>
          <w:color w:val="auto"/>
          <w:sz w:val="32"/>
          <w:szCs w:val="32"/>
          <w:highlight w:val="none"/>
        </w:rPr>
        <w:t>，实现优质产业空间供给与优质企业需求的精准匹配。</w:t>
      </w:r>
    </w:p>
    <w:p>
      <w:pPr>
        <w:pStyle w:val="11"/>
        <w:ind w:firstLine="645"/>
        <w:rPr>
          <w:rFonts w:hint="eastAsia" w:ascii="仿宋_GB2312" w:hAnsi="仿宋_GB2312" w:eastAsia="仿宋_GB2312" w:cs="仿宋_GB2312"/>
          <w:color w:val="auto"/>
          <w:sz w:val="32"/>
          <w:szCs w:val="32"/>
          <w:highlight w:val="none"/>
          <w:lang w:eastAsia="zh-CN"/>
        </w:rPr>
      </w:pPr>
      <w:r>
        <w:rPr>
          <w:rFonts w:hint="eastAsia" w:hAnsi="仿宋"/>
          <w:color w:val="000000" w:themeColor="text1"/>
          <w:lang w:eastAsia="zh-CN"/>
          <w14:textFill>
            <w14:solidFill>
              <w14:schemeClr w14:val="tx1"/>
            </w14:solidFill>
          </w14:textFill>
        </w:rPr>
        <w:t>为</w:t>
      </w:r>
      <w:r>
        <w:rPr>
          <w:rFonts w:hint="eastAsia" w:hAnsi="仿宋"/>
          <w:color w:val="000000" w:themeColor="text1"/>
          <w14:textFill>
            <w14:solidFill>
              <w14:schemeClr w14:val="tx1"/>
            </w14:solidFill>
          </w14:textFill>
        </w:rPr>
        <w:t>衔接上位政策</w:t>
      </w:r>
      <w:r>
        <w:rPr>
          <w:rFonts w:hint="eastAsia" w:hAnsi="仿宋"/>
          <w:color w:val="000000" w:themeColor="text1"/>
          <w:lang w:eastAsia="zh-CN"/>
          <w14:textFill>
            <w14:solidFill>
              <w14:schemeClr w14:val="tx1"/>
            </w14:solidFill>
          </w14:textFill>
        </w:rPr>
        <w:t>、</w:t>
      </w:r>
      <w:r>
        <w:rPr>
          <w:rFonts w:hint="eastAsia" w:hAnsi="仿宋"/>
          <w:color w:val="000000" w:themeColor="text1"/>
          <w14:textFill>
            <w14:solidFill>
              <w14:schemeClr w14:val="tx1"/>
            </w14:solidFill>
          </w14:textFill>
        </w:rPr>
        <w:t>明确职责分工</w:t>
      </w:r>
      <w:r>
        <w:rPr>
          <w:rFonts w:hint="eastAsia" w:hAnsi="仿宋"/>
          <w:color w:val="000000" w:themeColor="text1"/>
          <w:lang w:eastAsia="zh-CN"/>
          <w14:textFill>
            <w14:solidFill>
              <w14:schemeClr w14:val="tx1"/>
            </w14:solidFill>
          </w14:textFill>
        </w:rPr>
        <w:t>、</w:t>
      </w:r>
      <w:r>
        <w:rPr>
          <w:rFonts w:hint="eastAsia" w:hAnsi="仿宋"/>
          <w:bCs/>
          <w:color w:val="000000" w:themeColor="text1"/>
          <w14:textFill>
            <w14:solidFill>
              <w14:schemeClr w14:val="tx1"/>
            </w14:solidFill>
          </w14:textFill>
        </w:rPr>
        <w:t>建立全过程管理规范</w:t>
      </w:r>
      <w:r>
        <w:rPr>
          <w:rFonts w:hint="eastAsia" w:hAnsi="仿宋"/>
          <w:color w:val="000000" w:themeColor="text1"/>
          <w:lang w:eastAsia="zh-CN"/>
          <w14:textFill>
            <w14:solidFill>
              <w14:schemeClr w14:val="tx1"/>
            </w14:solidFill>
          </w14:textFill>
        </w:rPr>
        <w:t>，</w:t>
      </w:r>
      <w:r>
        <w:rPr>
          <w:rFonts w:hint="eastAsia"/>
        </w:rPr>
        <w:t>我局</w:t>
      </w:r>
      <w:r>
        <w:rPr>
          <w:rFonts w:hint="eastAsia"/>
          <w:lang w:eastAsia="zh-CN"/>
        </w:rPr>
        <w:t>牵头</w:t>
      </w:r>
      <w:r>
        <w:rPr>
          <w:rFonts w:hint="eastAsia"/>
        </w:rPr>
        <w:t>编制了《实施细则》</w:t>
      </w:r>
      <w:r>
        <w:rPr>
          <w:rFonts w:hint="eastAsia" w:hAnsi="仿宋"/>
          <w:color w:val="000000" w:themeColor="text1"/>
          <w:lang w:eastAsia="zh-CN"/>
          <w14:textFill>
            <w14:solidFill>
              <w14:schemeClr w14:val="tx1"/>
            </w14:solidFill>
          </w14:textFill>
        </w:rPr>
        <w:t>，主要应用于以下三个方面：</w:t>
      </w:r>
      <w:r>
        <w:rPr>
          <w:rFonts w:hint="eastAsia" w:hAnsi="仿宋"/>
          <w:b/>
          <w:bCs/>
          <w:color w:val="000000" w:themeColor="text1"/>
          <w:lang w:eastAsia="zh-CN"/>
          <w14:textFill>
            <w14:solidFill>
              <w14:schemeClr w14:val="tx1"/>
            </w14:solidFill>
          </w14:textFill>
        </w:rPr>
        <w:t>一是</w:t>
      </w:r>
      <w:r>
        <w:rPr>
          <w:rFonts w:hint="default" w:hAnsi="仿宋_GB2312" w:cs="仿宋_GB2312"/>
          <w:color w:val="auto"/>
          <w:sz w:val="32"/>
          <w:szCs w:val="32"/>
          <w:highlight w:val="none"/>
          <w:lang w:val="en"/>
        </w:rPr>
        <w:t>审定申报企业拟分配方案；</w:t>
      </w:r>
      <w:r>
        <w:rPr>
          <w:rFonts w:hint="eastAsia" w:hAnsi="仿宋_GB2312" w:cs="仿宋_GB2312"/>
          <w:b/>
          <w:bCs/>
          <w:color w:val="auto"/>
          <w:sz w:val="32"/>
          <w:szCs w:val="32"/>
          <w:highlight w:val="none"/>
          <w:lang w:val="en" w:eastAsia="zh-CN"/>
        </w:rPr>
        <w:t>二是</w:t>
      </w:r>
      <w:r>
        <w:rPr>
          <w:rFonts w:hint="default" w:hAnsi="仿宋_GB2312" w:cs="仿宋_GB2312"/>
          <w:color w:val="auto"/>
          <w:sz w:val="32"/>
          <w:szCs w:val="32"/>
          <w:highlight w:val="none"/>
          <w:lang w:val="en"/>
        </w:rPr>
        <w:t>协调、解决工业上楼项目运营管理以及企业入驻涉及的产业监管等重大问题</w:t>
      </w:r>
      <w:r>
        <w:rPr>
          <w:rFonts w:hint="eastAsia" w:hAnsi="仿宋_GB2312" w:cs="仿宋_GB2312"/>
          <w:color w:val="auto"/>
          <w:sz w:val="32"/>
          <w:szCs w:val="32"/>
          <w:highlight w:val="none"/>
          <w:lang w:val="en" w:eastAsia="zh-CN"/>
        </w:rPr>
        <w:t>；</w:t>
      </w:r>
      <w:r>
        <w:rPr>
          <w:rFonts w:hint="eastAsia" w:hAnsi="仿宋_GB2312" w:cs="仿宋_GB2312"/>
          <w:b/>
          <w:bCs/>
          <w:color w:val="auto"/>
          <w:sz w:val="32"/>
          <w:szCs w:val="32"/>
          <w:highlight w:val="none"/>
          <w:lang w:val="en" w:eastAsia="zh-CN"/>
        </w:rPr>
        <w:t>三是</w:t>
      </w:r>
      <w:r>
        <w:rPr>
          <w:rFonts w:hint="eastAsia" w:hAnsi="仿宋_GB2312" w:cs="仿宋_GB2312"/>
          <w:color w:val="auto"/>
          <w:sz w:val="32"/>
          <w:szCs w:val="32"/>
          <w:highlight w:val="none"/>
          <w:lang w:val="en" w:eastAsia="zh-CN"/>
        </w:rPr>
        <w:t>议定</w:t>
      </w:r>
      <w:r>
        <w:rPr>
          <w:rFonts w:hint="eastAsia" w:ascii="仿宋_GB2312" w:eastAsia="仿宋_GB2312"/>
          <w:color w:val="auto"/>
          <w:sz w:val="32"/>
          <w:szCs w:val="32"/>
          <w:u w:val="none"/>
        </w:rPr>
        <w:t>其他应当报</w:t>
      </w:r>
      <w:r>
        <w:rPr>
          <w:rFonts w:hint="eastAsia" w:ascii="仿宋_GB2312" w:eastAsia="仿宋_GB2312"/>
          <w:color w:val="auto"/>
          <w:sz w:val="32"/>
          <w:szCs w:val="32"/>
          <w:u w:val="none"/>
          <w:lang w:eastAsia="zh-CN"/>
        </w:rPr>
        <w:t>工作</w:t>
      </w:r>
      <w:r>
        <w:rPr>
          <w:rFonts w:hint="eastAsia" w:ascii="仿宋_GB2312" w:eastAsia="仿宋_GB2312"/>
          <w:color w:val="auto"/>
          <w:sz w:val="32"/>
          <w:szCs w:val="32"/>
          <w:u w:val="none"/>
        </w:rPr>
        <w:t>小组审定的事项</w:t>
      </w:r>
      <w:r>
        <w:rPr>
          <w:rFonts w:hint="eastAsia"/>
          <w:color w:val="auto"/>
          <w:sz w:val="32"/>
          <w:szCs w:val="32"/>
          <w:u w:val="none"/>
          <w:lang w:eastAsia="zh-CN"/>
        </w:rPr>
        <w:t>。</w:t>
      </w:r>
    </w:p>
    <w:p>
      <w:pPr>
        <w:pStyle w:val="2"/>
        <w:spacing w:before="0" w:beforeLines="0" w:after="0" w:afterLines="0" w:line="360" w:lineRule="auto"/>
        <w:ind w:firstLine="640"/>
        <w:rPr>
          <w:rFonts w:hint="eastAsia" w:ascii="黑体" w:hAnsi="黑体" w:eastAsia="黑体" w:cs="黑体"/>
          <w:b w:val="0"/>
          <w:szCs w:val="32"/>
          <w:lang w:eastAsia="zh-CN"/>
        </w:rPr>
      </w:pPr>
      <w:r>
        <w:rPr>
          <w:rFonts w:hint="eastAsia" w:ascii="黑体" w:hAnsi="黑体" w:eastAsia="黑体" w:cs="黑体"/>
          <w:b w:val="0"/>
          <w:szCs w:val="32"/>
        </w:rPr>
        <w:t>二、编制过程</w:t>
      </w:r>
      <w:r>
        <w:rPr>
          <w:rFonts w:hint="eastAsia" w:ascii="黑体" w:hAnsi="黑体" w:eastAsia="黑体" w:cs="黑体"/>
          <w:b w:val="0"/>
          <w:szCs w:val="32"/>
          <w:lang w:eastAsia="zh-CN"/>
        </w:rPr>
        <w:t>和依据</w:t>
      </w:r>
    </w:p>
    <w:p>
      <w:pPr>
        <w:pStyle w:val="11"/>
        <w:ind w:firstLine="645"/>
        <w:rPr>
          <w:rFonts w:hint="eastAsia"/>
        </w:rPr>
      </w:pPr>
      <w:r>
        <w:rPr>
          <w:rFonts w:hint="eastAsia"/>
        </w:rPr>
        <w:t>我局于2</w:t>
      </w:r>
      <w:r>
        <w:t>02</w:t>
      </w:r>
      <w:r>
        <w:rPr>
          <w:rFonts w:hint="eastAsia"/>
          <w:lang w:val="en-US" w:eastAsia="zh-CN"/>
        </w:rPr>
        <w:t>3</w:t>
      </w:r>
      <w:r>
        <w:rPr>
          <w:rFonts w:hint="eastAsia"/>
        </w:rPr>
        <w:t>年3月启动了《实施细则》编制工作，根据《深圳市人民政府关于印发深圳市“工业上楼”项目审批实施方案的通知》（深府函〔2023〕20号）《深圳市人民政府关于印发深圳市优质产业空间供给试点改革方案的通知》（深府函〔2021〕43号）《深圳市人民政府关于发展壮大战略性新兴产业集群和培育发展未来产业的意见》（深府〔2022〕1号）《深圳市20大先进制造业园区空间布局规划》等</w:t>
      </w:r>
      <w:r>
        <w:rPr>
          <w:rFonts w:hint="eastAsia" w:ascii="仿宋_GB2312" w:hAnsi="仿宋_GB2312" w:eastAsia="仿宋_GB2312" w:cs="仿宋_GB2312"/>
          <w:sz w:val="32"/>
          <w:szCs w:val="32"/>
          <w:highlight w:val="none"/>
          <w:lang w:val="en-US" w:eastAsia="zh-CN"/>
        </w:rPr>
        <w:t>文件及工作实际，</w:t>
      </w:r>
      <w:r>
        <w:rPr>
          <w:rFonts w:hint="eastAsia"/>
        </w:rPr>
        <w:t>经多轮内部研讨，形成《实施细则》，向相关部门进行第一次征求意见。</w:t>
      </w:r>
    </w:p>
    <w:p>
      <w:pPr>
        <w:pStyle w:val="2"/>
        <w:spacing w:before="0" w:beforeLines="0" w:after="0" w:afterLines="0" w:line="360" w:lineRule="auto"/>
        <w:ind w:firstLine="640"/>
        <w:rPr>
          <w:rFonts w:hint="eastAsia" w:ascii="黑体" w:hAnsi="黑体" w:eastAsia="黑体" w:cs="黑体"/>
          <w:b w:val="0"/>
          <w:szCs w:val="32"/>
        </w:rPr>
      </w:pPr>
      <w:r>
        <w:rPr>
          <w:rFonts w:hint="eastAsia" w:ascii="黑体" w:hAnsi="黑体" w:eastAsia="黑体" w:cs="黑体"/>
          <w:b w:val="0"/>
          <w:szCs w:val="32"/>
        </w:rPr>
        <w:t>三、主要内容</w:t>
      </w:r>
    </w:p>
    <w:p>
      <w:pPr>
        <w:pStyle w:val="20"/>
        <w:keepNext w:val="0"/>
        <w:keepLines w:val="0"/>
        <w:pageBreakBefore w:val="0"/>
        <w:widowControl w:val="0"/>
        <w:kinsoku/>
        <w:wordWrap/>
        <w:overflowPunct/>
        <w:topLinePunct w:val="0"/>
        <w:autoSpaceDE/>
        <w:autoSpaceDN/>
        <w:bidi w:val="0"/>
        <w:adjustRightIn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zh-TW" w:eastAsia="zh-CN" w:bidi="ar-SA"/>
        </w:rPr>
      </w:pPr>
      <w:r>
        <w:rPr>
          <w:rFonts w:hint="eastAsia" w:ascii="仿宋_GB2312" w:hAnsi="仿宋_GB2312" w:eastAsia="仿宋_GB2312" w:cs="仿宋_GB2312"/>
          <w:kern w:val="2"/>
          <w:sz w:val="32"/>
          <w:szCs w:val="32"/>
          <w:lang w:val="zh-TW" w:eastAsia="zh-CN" w:bidi="ar-SA"/>
        </w:rPr>
        <w:t>《</w:t>
      </w:r>
      <w:r>
        <w:rPr>
          <w:rFonts w:hint="eastAsia"/>
        </w:rPr>
        <w:t>实施细则</w:t>
      </w:r>
      <w:r>
        <w:rPr>
          <w:rFonts w:hint="eastAsia" w:ascii="仿宋_GB2312" w:hAnsi="仿宋_GB2312" w:eastAsia="仿宋_GB2312" w:cs="仿宋_GB2312"/>
          <w:kern w:val="2"/>
          <w:sz w:val="32"/>
          <w:szCs w:val="32"/>
          <w:lang w:val="zh-TW" w:eastAsia="zh-CN" w:bidi="ar-SA"/>
        </w:rPr>
        <w:t>》</w:t>
      </w:r>
      <w:r>
        <w:rPr>
          <w:rFonts w:hint="eastAsia" w:ascii="仿宋_GB2312" w:hAnsi="仿宋_GB2312" w:eastAsia="仿宋_GB2312" w:cs="仿宋_GB2312"/>
          <w:kern w:val="2"/>
          <w:sz w:val="32"/>
          <w:szCs w:val="32"/>
          <w:lang w:val="en-US" w:eastAsia="zh-CN" w:bidi="ar-SA"/>
        </w:rPr>
        <w:t>主要分为</w:t>
      </w:r>
      <w:r>
        <w:rPr>
          <w:rFonts w:hint="eastAsia" w:ascii="仿宋_GB2312" w:hAnsi="仿宋_GB2312" w:eastAsia="仿宋_GB2312" w:cs="仿宋_GB2312"/>
          <w:kern w:val="2"/>
          <w:sz w:val="32"/>
          <w:szCs w:val="32"/>
          <w:lang w:val="zh-TW" w:eastAsia="zh-CN" w:bidi="ar-SA"/>
        </w:rPr>
        <w:t>运营管理及产业监管、工业上楼项目租售要求、</w:t>
      </w:r>
      <w:r>
        <w:rPr>
          <w:rFonts w:hint="eastAsia" w:ascii="仿宋_GB2312" w:hAnsi="仿宋_GB2312" w:eastAsia="仿宋_GB2312" w:cs="仿宋_GB2312"/>
          <w:kern w:val="2"/>
          <w:sz w:val="32"/>
          <w:szCs w:val="32"/>
          <w:lang w:val="en-US" w:eastAsia="zh-CN" w:bidi="ar-SA"/>
        </w:rPr>
        <w:t>入驻条件与标准、</w:t>
      </w:r>
      <w:r>
        <w:rPr>
          <w:rFonts w:hint="eastAsia" w:ascii="仿宋_GB2312" w:hAnsi="仿宋_GB2312" w:eastAsia="仿宋_GB2312" w:cs="仿宋_GB2312"/>
          <w:kern w:val="2"/>
          <w:sz w:val="32"/>
          <w:szCs w:val="32"/>
          <w:lang w:val="zh-TW" w:eastAsia="zh-CN" w:bidi="ar-SA"/>
        </w:rPr>
        <w:t>入驻审批流程、</w:t>
      </w:r>
      <w:r>
        <w:rPr>
          <w:rFonts w:hint="eastAsia" w:cs="仿宋_GB2312"/>
          <w:kern w:val="2"/>
          <w:sz w:val="32"/>
          <w:szCs w:val="32"/>
          <w:lang w:val="en-US" w:eastAsia="zh-CN" w:bidi="ar-SA"/>
        </w:rPr>
        <w:t>退出机制</w:t>
      </w:r>
      <w:r>
        <w:rPr>
          <w:rFonts w:hint="eastAsia" w:ascii="仿宋_GB2312" w:hAnsi="仿宋_GB2312" w:eastAsia="仿宋_GB2312" w:cs="仿宋_GB2312"/>
          <w:kern w:val="2"/>
          <w:sz w:val="32"/>
          <w:szCs w:val="32"/>
          <w:lang w:val="en-US" w:eastAsia="zh-CN" w:bidi="ar-SA"/>
        </w:rPr>
        <w:t>五大板块，共2</w:t>
      </w:r>
      <w:r>
        <w:rPr>
          <w:rFonts w:hint="eastAsia" w:cs="仿宋_GB2312"/>
          <w:kern w:val="2"/>
          <w:sz w:val="32"/>
          <w:szCs w:val="32"/>
          <w:lang w:val="en-US" w:eastAsia="zh-CN" w:bidi="ar-SA"/>
        </w:rPr>
        <w:t>8</w:t>
      </w:r>
      <w:r>
        <w:rPr>
          <w:rFonts w:hint="eastAsia" w:ascii="仿宋_GB2312" w:hAnsi="仿宋_GB2312" w:eastAsia="仿宋_GB2312" w:cs="仿宋_GB2312"/>
          <w:kern w:val="2"/>
          <w:sz w:val="32"/>
          <w:szCs w:val="32"/>
          <w:lang w:val="en-US" w:eastAsia="zh-CN" w:bidi="ar-SA"/>
        </w:rPr>
        <w:t>点具体内容。主要如下：</w:t>
      </w:r>
    </w:p>
    <w:p>
      <w:pPr>
        <w:ind w:firstLine="640" w:firstLineChars="200"/>
        <w:jc w:val="both"/>
        <w:rPr>
          <w:rFonts w:ascii="仿宋_GB2312" w:hAnsi="仿宋" w:eastAsia="仿宋_GB2312"/>
          <w:b w:val="0"/>
          <w:color w:val="000000" w:themeColor="text1"/>
          <w:sz w:val="32"/>
          <w:szCs w:val="32"/>
          <w14:textFill>
            <w14:solidFill>
              <w14:schemeClr w14:val="tx1"/>
            </w14:solidFill>
          </w14:textFill>
        </w:rPr>
      </w:pPr>
      <w:r>
        <w:rPr>
          <w:rFonts w:hint="eastAsia" w:ascii="楷体" w:hAnsi="楷体" w:eastAsia="楷体"/>
          <w:b w:val="0"/>
          <w:color w:val="000000" w:themeColor="text1"/>
          <w:sz w:val="32"/>
          <w:szCs w:val="32"/>
          <w14:textFill>
            <w14:solidFill>
              <w14:schemeClr w14:val="tx1"/>
            </w14:solidFill>
          </w14:textFill>
        </w:rPr>
        <w:t>（一）运营管理及产业监管。</w:t>
      </w:r>
      <w:r>
        <w:rPr>
          <w:rFonts w:hint="eastAsia" w:ascii="仿宋_GB2312" w:hAnsi="仿宋" w:eastAsia="仿宋_GB2312" w:cs="Times New Roman"/>
          <w:b w:val="0"/>
          <w:color w:val="000000" w:themeColor="text1"/>
          <w:sz w:val="32"/>
          <w:szCs w:val="32"/>
          <w:lang w:eastAsia="zh-CN"/>
          <w14:textFill>
            <w14:solidFill>
              <w14:schemeClr w14:val="tx1"/>
            </w14:solidFill>
          </w14:textFill>
        </w:rPr>
        <w:t>产业牵头单位负责具体工业上楼项目的企业准入、签订产业监管协议及</w:t>
      </w:r>
      <w:r>
        <w:rPr>
          <w:rFonts w:hint="eastAsia" w:ascii="仿宋_GB2312" w:hAnsi="仿宋" w:eastAsia="仿宋_GB2312" w:cs="Times New Roman"/>
          <w:b w:val="0"/>
          <w:color w:val="000000" w:themeColor="text1"/>
          <w:sz w:val="32"/>
          <w:szCs w:val="32"/>
          <w14:textFill>
            <w14:solidFill>
              <w14:schemeClr w14:val="tx1"/>
            </w14:solidFill>
          </w14:textFill>
        </w:rPr>
        <w:t>后续产业监管</w:t>
      </w:r>
      <w:r>
        <w:rPr>
          <w:rFonts w:hint="eastAsia" w:ascii="仿宋_GB2312" w:hAnsi="仿宋" w:eastAsia="仿宋_GB2312" w:cs="Times New Roman"/>
          <w:b w:val="0"/>
          <w:color w:val="000000" w:themeColor="text1"/>
          <w:sz w:val="32"/>
          <w:szCs w:val="32"/>
          <w:lang w:eastAsia="zh-CN"/>
          <w14:textFill>
            <w14:solidFill>
              <w14:schemeClr w14:val="tx1"/>
            </w14:solidFill>
          </w14:textFill>
        </w:rPr>
        <w:t>等工作</w:t>
      </w:r>
      <w:r>
        <w:rPr>
          <w:rFonts w:hint="eastAsia" w:ascii="仿宋_GB2312" w:hAnsi="仿宋" w:eastAsia="仿宋_GB2312" w:cs="Times New Roman"/>
          <w:b w:val="0"/>
          <w:color w:val="000000" w:themeColor="text1"/>
          <w:sz w:val="32"/>
          <w:szCs w:val="32"/>
          <w14:textFill>
            <w14:solidFill>
              <w14:schemeClr w14:val="tx1"/>
            </w14:solidFill>
          </w14:textFill>
        </w:rPr>
        <w:t>。</w:t>
      </w:r>
      <w:r>
        <w:rPr>
          <w:rFonts w:hint="eastAsia" w:ascii="仿宋_GB2312" w:hAnsi="仿宋" w:eastAsia="仿宋_GB2312"/>
          <w:b w:val="0"/>
          <w:color w:val="000000" w:themeColor="text1"/>
          <w:sz w:val="32"/>
          <w:szCs w:val="32"/>
          <w14:textFill>
            <w14:solidFill>
              <w14:schemeClr w14:val="tx1"/>
            </w14:solidFill>
          </w14:textFill>
        </w:rPr>
        <w:t>平台企业须与相应项目产业牵头单位签订项目产业监管协议</w:t>
      </w:r>
      <w:r>
        <w:rPr>
          <w:rFonts w:hint="eastAsia" w:ascii="仿宋_GB2312" w:hAnsi="仿宋" w:eastAsia="仿宋_GB2312"/>
          <w:b w:val="0"/>
          <w:color w:val="000000" w:themeColor="text1"/>
          <w:sz w:val="32"/>
          <w:szCs w:val="32"/>
          <w:lang w:eastAsia="zh-CN"/>
          <w14:textFill>
            <w14:solidFill>
              <w14:schemeClr w14:val="tx1"/>
            </w14:solidFill>
          </w14:textFill>
        </w:rPr>
        <w:t>，</w:t>
      </w:r>
      <w:r>
        <w:rPr>
          <w:rFonts w:hint="eastAsia" w:ascii="仿宋_GB2312" w:hAnsi="仿宋" w:eastAsia="仿宋_GB2312"/>
          <w:b w:val="0"/>
          <w:color w:val="000000" w:themeColor="text1"/>
          <w:sz w:val="32"/>
          <w:szCs w:val="32"/>
          <w14:textFill>
            <w14:solidFill>
              <w14:schemeClr w14:val="tx1"/>
            </w14:solidFill>
          </w14:textFill>
        </w:rPr>
        <w:t>入驻企业须与产业牵头单位签订企业入驻产业监管协议，必要时须与产业牵头单位、平台企业共同签订三方产业发展监管协议。平台企业负责评估确定项目产业用房、宿舍市场租金价格；负责日常运营管理，开展产业服务及园区运营相关工作,打造数字化、智能化、绿色化的产业空间;可在园区设计中突出产业服务属性,根据园区产业定位及产业特点配建相应的公共技术服务平台、检验检测认证中心、废弃物处理系统等。</w:t>
      </w:r>
    </w:p>
    <w:p>
      <w:pPr>
        <w:ind w:firstLine="630"/>
        <w:jc w:val="both"/>
        <w:rPr>
          <w:rFonts w:hint="eastAsia" w:ascii="仿宋_GB2312" w:hAnsi="楷体" w:eastAsia="仿宋_GB2312" w:cs="Times New Roman"/>
          <w:b w:val="0"/>
          <w:color w:val="000000" w:themeColor="text1"/>
          <w:sz w:val="32"/>
          <w:szCs w:val="32"/>
          <w:lang w:eastAsia="zh-CN"/>
          <w14:textFill>
            <w14:solidFill>
              <w14:schemeClr w14:val="tx1"/>
            </w14:solidFill>
          </w14:textFill>
        </w:rPr>
      </w:pPr>
      <w:r>
        <w:rPr>
          <w:rFonts w:hint="eastAsia" w:ascii="楷体" w:hAnsi="楷体" w:eastAsia="楷体"/>
          <w:b w:val="0"/>
          <w:color w:val="000000" w:themeColor="text1"/>
          <w:sz w:val="32"/>
          <w:szCs w:val="32"/>
          <w14:textFill>
            <w14:solidFill>
              <w14:schemeClr w14:val="tx1"/>
            </w14:solidFill>
          </w14:textFill>
        </w:rPr>
        <w:t>（二）工业上楼项目租售要求。</w:t>
      </w:r>
      <w:r>
        <w:rPr>
          <w:rFonts w:hint="eastAsia" w:ascii="仿宋_GB2312" w:hAnsi="楷体" w:eastAsia="仿宋_GB2312"/>
          <w:b w:val="0"/>
          <w:color w:val="000000" w:themeColor="text1"/>
          <w:sz w:val="32"/>
          <w:szCs w:val="32"/>
          <w14:textFill>
            <w14:solidFill>
              <w14:schemeClr w14:val="tx1"/>
            </w14:solidFill>
          </w14:textFill>
        </w:rPr>
        <w:t>工业上楼项目租售比例、租售价格等按照深圳市有关工业上楼规定执行。工业上楼项目宿舍应优先满足入驻企业需求，剩余宿舍可向龙华区内其他企业提供</w:t>
      </w:r>
      <w:r>
        <w:rPr>
          <w:rFonts w:hint="eastAsia" w:ascii="仿宋_GB2312" w:hAnsi="楷体" w:eastAsia="仿宋_GB2312"/>
          <w:b w:val="0"/>
          <w:color w:val="000000" w:themeColor="text1"/>
          <w:sz w:val="32"/>
          <w:szCs w:val="32"/>
          <w:lang w:eastAsia="zh-CN"/>
          <w14:textFill>
            <w14:solidFill>
              <w14:schemeClr w14:val="tx1"/>
            </w14:solidFill>
          </w14:textFill>
        </w:rPr>
        <w:t>，</w:t>
      </w:r>
      <w:r>
        <w:rPr>
          <w:rFonts w:hint="eastAsia" w:ascii="仿宋_GB2312" w:hAnsi="楷体" w:eastAsia="仿宋_GB2312"/>
          <w:b w:val="0"/>
          <w:color w:val="000000" w:themeColor="text1"/>
          <w:sz w:val="32"/>
          <w:szCs w:val="32"/>
          <w14:textFill>
            <w14:solidFill>
              <w14:schemeClr w14:val="tx1"/>
            </w14:solidFill>
          </w14:textFill>
        </w:rPr>
        <w:t>宿舍转让的，按照《深圳市工业楼宇及配套用房转让管理办法》(深府办规〔2020〕2号)等政策规定执行。</w:t>
      </w:r>
      <w:r>
        <w:rPr>
          <w:rFonts w:hint="eastAsia" w:ascii="仿宋_GB2312" w:hAnsi="楷体" w:eastAsia="仿宋_GB2312" w:cs="Times New Roman"/>
          <w:b w:val="0"/>
          <w:color w:val="000000" w:themeColor="text1"/>
          <w:sz w:val="32"/>
          <w:szCs w:val="32"/>
          <w:lang w:eastAsia="zh-CN"/>
          <w14:textFill>
            <w14:solidFill>
              <w14:schemeClr w14:val="tx1"/>
            </w14:solidFill>
          </w14:textFill>
        </w:rPr>
        <w:t>除法律法规规定或产业监管协议约定外，工业上楼项目可分割销售的，自购房企业完成不动产登记之日起未满5年的产业空间,原则上不允许转让。自完成不动产登记之日起,5年累计达到《产业发展监管协议书》中约定的收入法增加值规模、税收规模、产值能耗等相关要求的购房企业,可申请将其名下的产业用房及配套宿舍进行转让，次受让人应符合《深圳市人民政府关于印发深圳市优质产业空间供给试点改革方案的通知》（深府函〔2021〕43号）相关要求。工业上楼项目租赁的，入驻企业租用10000平方米及以下的免租期为二个月,租用10000平方米以上的免租期为三个月。租期内（含免租期）物业管理费、水电费、停车费等由入驻企业自行承担。</w:t>
      </w:r>
    </w:p>
    <w:p>
      <w:pPr>
        <w:ind w:firstLine="630"/>
        <w:jc w:val="both"/>
        <w:rPr>
          <w:rFonts w:hint="eastAsia" w:ascii="仿宋_GB2312" w:hAnsi="楷体" w:eastAsia="仿宋_GB2312" w:cs="Times New Roman"/>
          <w:b w:val="0"/>
          <w:color w:val="000000" w:themeColor="text1"/>
          <w:sz w:val="32"/>
          <w:szCs w:val="32"/>
          <w14:textFill>
            <w14:solidFill>
              <w14:schemeClr w14:val="tx1"/>
            </w14:solidFill>
          </w14:textFill>
        </w:rPr>
      </w:pPr>
      <w:r>
        <w:rPr>
          <w:rFonts w:hint="eastAsia" w:ascii="楷体" w:hAnsi="楷体" w:eastAsia="楷体" w:cs="Times New Roman"/>
          <w:b w:val="0"/>
          <w:color w:val="000000" w:themeColor="text1"/>
          <w:kern w:val="2"/>
          <w:sz w:val="32"/>
          <w:szCs w:val="32"/>
          <w:lang w:val="en-US" w:eastAsia="zh-CN" w:bidi="ar-SA"/>
          <w14:textFill>
            <w14:solidFill>
              <w14:schemeClr w14:val="tx1"/>
            </w14:solidFill>
          </w14:textFill>
        </w:rPr>
        <w:t>（三）入驻条件与标准。</w:t>
      </w:r>
      <w:r>
        <w:rPr>
          <w:rFonts w:hint="eastAsia" w:ascii="仿宋_GB2312" w:hAnsi="楷体" w:eastAsia="仿宋_GB2312" w:cs="Times New Roman"/>
          <w:b w:val="0"/>
          <w:color w:val="000000" w:themeColor="text1"/>
          <w:sz w:val="32"/>
          <w:szCs w:val="32"/>
          <w14:textFill>
            <w14:solidFill>
              <w14:schemeClr w14:val="tx1"/>
            </w14:solidFill>
          </w14:textFill>
        </w:rPr>
        <w:t>入驻对象应符合20+8产业集群或《深圳市产业结构调整优化和产业导向目录》鼓励类产业，且统计关系、税务关系、实际经营地应在龙华区。入驻对象的统计关系、税务关系、实际经营地在提交入驻申请时未在龙华区的,应在申请时提交迁入承诺书并租售合同签订之日起3个月内迁入龙华区。申请工业上楼项目企业分为按照工业上楼规定要求出售和出租两类</w:t>
      </w:r>
      <w:r>
        <w:rPr>
          <w:rFonts w:hint="eastAsia" w:ascii="仿宋_GB2312" w:hAnsi="楷体" w:eastAsia="仿宋_GB2312" w:cs="Times New Roman"/>
          <w:b w:val="0"/>
          <w:color w:val="000000" w:themeColor="text1"/>
          <w:sz w:val="32"/>
          <w:szCs w:val="32"/>
          <w:lang w:eastAsia="zh-CN"/>
          <w14:textFill>
            <w14:solidFill>
              <w14:schemeClr w14:val="tx1"/>
            </w14:solidFill>
          </w14:textFill>
        </w:rPr>
        <w:t>，对应不同的入驻条件和空间分配标准</w:t>
      </w:r>
      <w:r>
        <w:rPr>
          <w:rFonts w:hint="eastAsia" w:ascii="仿宋_GB2312" w:hAnsi="楷体" w:eastAsia="仿宋_GB2312" w:cs="Times New Roman"/>
          <w:b w:val="0"/>
          <w:color w:val="000000" w:themeColor="text1"/>
          <w:sz w:val="32"/>
          <w:szCs w:val="32"/>
          <w14:textFill>
            <w14:solidFill>
              <w14:schemeClr w14:val="tx1"/>
            </w14:solidFill>
          </w14:textFill>
        </w:rPr>
        <w:t>。区投资推广和企业服务中心梳理汇总意向申请龙华区工业上楼项目空间的区内外企业，形成企业遴选库并按照第五条产业分工原则转产业牵头单位受理，入驻企业均从遴选库中选择。</w:t>
      </w:r>
    </w:p>
    <w:p>
      <w:pPr>
        <w:pStyle w:val="14"/>
        <w:spacing w:line="560" w:lineRule="exact"/>
        <w:ind w:left="0" w:leftChars="0"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s="Times New Roman"/>
          <w:b w:val="0"/>
          <w:color w:val="000000" w:themeColor="text1"/>
          <w:kern w:val="2"/>
          <w:sz w:val="32"/>
          <w:szCs w:val="32"/>
          <w:lang w:val="en-US" w:eastAsia="zh-CN" w:bidi="ar-SA"/>
          <w14:textFill>
            <w14:solidFill>
              <w14:schemeClr w14:val="tx1"/>
            </w14:solidFill>
          </w14:textFill>
        </w:rPr>
        <w:t>（四）入驻审批流程。</w:t>
      </w:r>
      <w:r>
        <w:rPr>
          <w:rFonts w:hint="eastAsia" w:ascii="仿宋_GB2312" w:hAnsi="楷体" w:eastAsia="仿宋_GB2312"/>
          <w:color w:val="000000" w:themeColor="text1"/>
          <w:sz w:val="32"/>
          <w:szCs w:val="32"/>
          <w14:textFill>
            <w14:solidFill>
              <w14:schemeClr w14:val="tx1"/>
            </w14:solidFill>
          </w14:textFill>
        </w:rPr>
        <w:t>一是公告受理</w:t>
      </w:r>
      <w:r>
        <w:rPr>
          <w:rFonts w:hint="eastAsia" w:ascii="仿宋_GB2312" w:hAnsi="楷体" w:eastAsia="仿宋_GB2312"/>
          <w:color w:val="000000" w:themeColor="text1"/>
          <w:sz w:val="32"/>
          <w:szCs w:val="32"/>
          <w:lang w:eastAsia="zh-CN"/>
          <w14:textFill>
            <w14:solidFill>
              <w14:schemeClr w14:val="tx1"/>
            </w14:solidFill>
          </w14:textFill>
        </w:rPr>
        <w:t>阶段，</w:t>
      </w:r>
      <w:r>
        <w:rPr>
          <w:rFonts w:hint="eastAsia" w:ascii="仿宋_GB2312" w:hAnsi="楷体" w:eastAsia="仿宋_GB2312"/>
          <w:color w:val="000000" w:themeColor="text1"/>
          <w:sz w:val="32"/>
          <w:szCs w:val="32"/>
          <w14:textFill>
            <w14:solidFill>
              <w14:schemeClr w14:val="tx1"/>
            </w14:solidFill>
          </w14:textFill>
        </w:rPr>
        <w:t>区投资推广和企业服务中心会同项目产业牵头单位</w:t>
      </w:r>
      <w:r>
        <w:rPr>
          <w:rFonts w:hint="eastAsia" w:ascii="仿宋_GB2312" w:eastAsia="仿宋_GB2312"/>
          <w:color w:val="auto"/>
          <w:sz w:val="32"/>
          <w:szCs w:val="32"/>
          <w:highlight w:val="none"/>
          <w:u w:val="none"/>
          <w:lang w:eastAsia="zh-CN"/>
        </w:rPr>
        <w:t>于官方平台公布项目</w:t>
      </w:r>
      <w:r>
        <w:rPr>
          <w:rFonts w:hint="eastAsia" w:ascii="仿宋_GB2312" w:eastAsia="仿宋_GB2312"/>
          <w:color w:val="auto"/>
          <w:sz w:val="32"/>
          <w:szCs w:val="32"/>
          <w:highlight w:val="none"/>
          <w:u w:val="none"/>
        </w:rPr>
        <w:t>租赁通告</w:t>
      </w:r>
      <w:r>
        <w:rPr>
          <w:rFonts w:hint="eastAsia" w:ascii="仿宋_GB2312" w:eastAsia="仿宋_GB2312"/>
          <w:color w:val="auto"/>
          <w:sz w:val="32"/>
          <w:szCs w:val="32"/>
          <w:highlight w:val="none"/>
          <w:u w:val="none"/>
          <w:lang w:eastAsia="zh-CN"/>
        </w:rPr>
        <w:t>，</w:t>
      </w:r>
      <w:r>
        <w:rPr>
          <w:rFonts w:hint="eastAsia" w:ascii="仿宋_GB2312" w:hAnsi="仿宋_GB2312" w:eastAsia="仿宋_GB2312" w:cs="仿宋_GB2312"/>
          <w:color w:val="auto"/>
          <w:sz w:val="32"/>
          <w:szCs w:val="32"/>
          <w:u w:val="none"/>
          <w:lang w:eastAsia="zh-CN"/>
        </w:rPr>
        <w:t>并由区投资推广和企业服务中心</w:t>
      </w:r>
      <w:r>
        <w:rPr>
          <w:rFonts w:hint="eastAsia" w:ascii="仿宋_GB2312" w:hAnsi="仿宋_GB2312" w:eastAsia="仿宋_GB2312" w:cs="仿宋_GB2312"/>
          <w:color w:val="auto"/>
          <w:sz w:val="32"/>
          <w:szCs w:val="32"/>
          <w:lang w:val="en-US" w:eastAsia="zh-CN"/>
        </w:rPr>
        <w:t>按照第五条产业分工原则转产业牵头单位受理；</w:t>
      </w:r>
      <w:r>
        <w:rPr>
          <w:rFonts w:hint="eastAsia" w:ascii="仿宋_GB2312" w:hAnsi="楷体" w:eastAsia="仿宋_GB2312"/>
          <w:color w:val="000000" w:themeColor="text1"/>
          <w:sz w:val="32"/>
          <w:szCs w:val="32"/>
          <w14:textFill>
            <w14:solidFill>
              <w14:schemeClr w14:val="tx1"/>
            </w14:solidFill>
          </w14:textFill>
        </w:rPr>
        <w:t>二是审查审批</w:t>
      </w:r>
      <w:r>
        <w:rPr>
          <w:rFonts w:hint="eastAsia" w:ascii="仿宋_GB2312" w:hAnsi="楷体" w:eastAsia="仿宋_GB2312"/>
          <w:color w:val="000000" w:themeColor="text1"/>
          <w:sz w:val="32"/>
          <w:szCs w:val="32"/>
          <w:lang w:eastAsia="zh-CN"/>
          <w14:textFill>
            <w14:solidFill>
              <w14:schemeClr w14:val="tx1"/>
            </w14:solidFill>
          </w14:textFill>
        </w:rPr>
        <w:t>阶段，</w:t>
      </w:r>
      <w:r>
        <w:rPr>
          <w:rFonts w:hint="eastAsia" w:ascii="仿宋_GB2312" w:eastAsia="仿宋_GB2312"/>
          <w:color w:val="auto"/>
          <w:sz w:val="32"/>
          <w:szCs w:val="32"/>
          <w:highlight w:val="none"/>
          <w:u w:val="none"/>
          <w:lang w:eastAsia="zh-CN"/>
        </w:rPr>
        <w:t>产业牵头单位</w:t>
      </w:r>
      <w:r>
        <w:rPr>
          <w:rFonts w:hint="eastAsia" w:ascii="仿宋_GB2312" w:eastAsia="仿宋_GB2312"/>
          <w:color w:val="auto"/>
          <w:sz w:val="32"/>
          <w:szCs w:val="32"/>
          <w:u w:val="none"/>
          <w:lang w:eastAsia="zh-CN"/>
        </w:rPr>
        <w:t>自收到</w:t>
      </w:r>
      <w:r>
        <w:rPr>
          <w:rFonts w:hint="eastAsia" w:ascii="仿宋_GB2312" w:hAnsi="仿宋_GB2312" w:eastAsia="仿宋_GB2312" w:cs="仿宋_GB2312"/>
          <w:color w:val="auto"/>
          <w:sz w:val="32"/>
          <w:szCs w:val="32"/>
          <w:u w:val="none"/>
          <w:lang w:eastAsia="zh-CN"/>
        </w:rPr>
        <w:t>区投资推广和企业服务中心转来正式书面申请资料</w:t>
      </w:r>
      <w:r>
        <w:rPr>
          <w:rFonts w:hint="eastAsia" w:ascii="仿宋_GB2312" w:eastAsia="仿宋_GB2312"/>
          <w:color w:val="auto"/>
          <w:sz w:val="32"/>
          <w:szCs w:val="32"/>
          <w:u w:val="none"/>
        </w:rPr>
        <w:t>后</w:t>
      </w:r>
      <w:r>
        <w:rPr>
          <w:rFonts w:hint="eastAsia" w:ascii="仿宋_GB2312" w:eastAsia="仿宋_GB2312"/>
          <w:color w:val="auto"/>
          <w:sz w:val="32"/>
          <w:szCs w:val="32"/>
          <w:u w:val="none"/>
          <w:lang w:val="en-US" w:eastAsia="zh-CN"/>
        </w:rPr>
        <w:t>15</w:t>
      </w:r>
      <w:r>
        <w:rPr>
          <w:rFonts w:hint="eastAsia" w:ascii="仿宋_GB2312" w:eastAsia="仿宋_GB2312"/>
          <w:color w:val="auto"/>
          <w:sz w:val="32"/>
          <w:szCs w:val="32"/>
          <w:u w:val="none"/>
        </w:rPr>
        <w:t>个工作日内</w:t>
      </w:r>
      <w:r>
        <w:rPr>
          <w:rFonts w:hint="eastAsia" w:ascii="仿宋_GB2312" w:eastAsia="仿宋_GB2312"/>
          <w:color w:val="auto"/>
          <w:sz w:val="32"/>
          <w:szCs w:val="32"/>
          <w:u w:val="none"/>
          <w:lang w:eastAsia="zh-CN"/>
        </w:rPr>
        <w:t>完成</w:t>
      </w:r>
      <w:r>
        <w:rPr>
          <w:rFonts w:hint="eastAsia" w:ascii="仿宋_GB2312" w:eastAsia="仿宋_GB2312"/>
          <w:color w:val="auto"/>
          <w:sz w:val="32"/>
          <w:szCs w:val="32"/>
          <w:u w:val="none"/>
        </w:rPr>
        <w:t>合规性</w:t>
      </w:r>
      <w:r>
        <w:rPr>
          <w:rFonts w:hint="eastAsia" w:ascii="仿宋_GB2312" w:eastAsia="仿宋_GB2312"/>
          <w:color w:val="auto"/>
          <w:sz w:val="32"/>
          <w:szCs w:val="32"/>
          <w:u w:val="none"/>
          <w:lang w:eastAsia="zh-CN"/>
        </w:rPr>
        <w:t>审查、</w:t>
      </w:r>
      <w:r>
        <w:rPr>
          <w:rFonts w:hint="eastAsia" w:ascii="仿宋_GB2312" w:eastAsia="仿宋_GB2312"/>
          <w:color w:val="auto"/>
          <w:sz w:val="32"/>
          <w:szCs w:val="32"/>
          <w:u w:val="none"/>
        </w:rPr>
        <w:t>起草拟分配方案</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rPr>
        <w:t>征求</w:t>
      </w:r>
      <w:r>
        <w:rPr>
          <w:rFonts w:hint="eastAsia" w:ascii="仿宋_GB2312" w:hAnsi="仿宋" w:eastAsia="仿宋_GB2312" w:cs="仿宋_GB2312"/>
          <w:color w:val="auto"/>
          <w:kern w:val="0"/>
          <w:sz w:val="32"/>
          <w:szCs w:val="32"/>
          <w:u w:val="none"/>
        </w:rPr>
        <w:t>各相关单位</w:t>
      </w:r>
      <w:r>
        <w:rPr>
          <w:rFonts w:hint="eastAsia" w:ascii="仿宋_GB2312" w:eastAsia="仿宋_GB2312"/>
          <w:color w:val="auto"/>
          <w:sz w:val="32"/>
          <w:szCs w:val="32"/>
          <w:u w:val="none"/>
        </w:rPr>
        <w:t>意见</w:t>
      </w:r>
      <w:r>
        <w:rPr>
          <w:rFonts w:hint="eastAsia" w:ascii="仿宋_GB2312" w:eastAsia="仿宋_GB2312"/>
          <w:color w:val="auto"/>
          <w:sz w:val="32"/>
          <w:szCs w:val="32"/>
          <w:u w:val="none"/>
          <w:lang w:eastAsia="zh-CN"/>
        </w:rPr>
        <w:t>、单位内部审核等审查工作，并将完成审查工作的</w:t>
      </w:r>
      <w:r>
        <w:rPr>
          <w:rFonts w:hint="eastAsia" w:ascii="仿宋_GB2312" w:eastAsia="仿宋_GB2312"/>
          <w:color w:val="auto"/>
          <w:sz w:val="32"/>
          <w:szCs w:val="32"/>
          <w:highlight w:val="none"/>
          <w:u w:val="none"/>
        </w:rPr>
        <w:t>拟分配方案</w:t>
      </w:r>
      <w:r>
        <w:rPr>
          <w:rFonts w:hint="eastAsia" w:ascii="仿宋_GB2312" w:eastAsia="仿宋_GB2312"/>
          <w:color w:val="auto"/>
          <w:sz w:val="32"/>
          <w:szCs w:val="32"/>
          <w:highlight w:val="none"/>
          <w:u w:val="none"/>
          <w:lang w:eastAsia="zh-CN"/>
        </w:rPr>
        <w:t>按照相关要求进行审批</w:t>
      </w:r>
      <w:r>
        <w:rPr>
          <w:rFonts w:hint="eastAsia" w:ascii="仿宋_GB2312" w:hAnsi="楷体" w:eastAsia="仿宋_GB2312"/>
          <w:color w:val="000000" w:themeColor="text1"/>
          <w:sz w:val="32"/>
          <w:szCs w:val="32"/>
          <w:lang w:eastAsia="zh-CN"/>
          <w14:textFill>
            <w14:solidFill>
              <w14:schemeClr w14:val="tx1"/>
            </w14:solidFill>
          </w14:textFill>
        </w:rPr>
        <w:t>；</w:t>
      </w:r>
      <w:r>
        <w:rPr>
          <w:rFonts w:hint="eastAsia" w:ascii="仿宋_GB2312" w:hAnsi="楷体" w:eastAsia="仿宋_GB2312"/>
          <w:color w:val="000000" w:themeColor="text1"/>
          <w:sz w:val="32"/>
          <w:szCs w:val="32"/>
          <w14:textFill>
            <w14:solidFill>
              <w14:schemeClr w14:val="tx1"/>
            </w14:solidFill>
          </w14:textFill>
        </w:rPr>
        <w:t>三是公示入驻</w:t>
      </w:r>
      <w:r>
        <w:rPr>
          <w:rFonts w:hint="eastAsia" w:ascii="仿宋_GB2312" w:hAnsi="楷体" w:eastAsia="仿宋_GB2312"/>
          <w:color w:val="000000" w:themeColor="text1"/>
          <w:sz w:val="32"/>
          <w:szCs w:val="32"/>
          <w:lang w:eastAsia="zh-CN"/>
          <w14:textFill>
            <w14:solidFill>
              <w14:schemeClr w14:val="tx1"/>
            </w14:solidFill>
          </w14:textFill>
        </w:rPr>
        <w:t>阶段，</w:t>
      </w:r>
      <w:r>
        <w:rPr>
          <w:rFonts w:hint="eastAsia" w:ascii="仿宋_GB2312" w:eastAsia="仿宋_GB2312"/>
          <w:color w:val="auto"/>
          <w:sz w:val="32"/>
          <w:szCs w:val="32"/>
          <w:highlight w:val="none"/>
          <w:u w:val="none"/>
          <w:lang w:eastAsia="zh-CN"/>
        </w:rPr>
        <w:t>产业牵头单位</w:t>
      </w:r>
      <w:r>
        <w:rPr>
          <w:rFonts w:hint="eastAsia" w:ascii="仿宋_GB2312" w:eastAsia="仿宋_GB2312"/>
          <w:color w:val="auto"/>
          <w:sz w:val="32"/>
          <w:szCs w:val="32"/>
          <w:u w:val="none"/>
        </w:rPr>
        <w:t>将审定后的分配方案向社会公示，公示期不少于5个工作日，</w:t>
      </w:r>
      <w:r>
        <w:rPr>
          <w:rFonts w:hint="eastAsia" w:ascii="仿宋_GB2312" w:eastAsia="仿宋_GB2312"/>
          <w:color w:val="auto"/>
          <w:sz w:val="32"/>
          <w:szCs w:val="32"/>
          <w:highlight w:val="none"/>
          <w:u w:val="none"/>
          <w:lang w:eastAsia="zh-CN"/>
        </w:rPr>
        <w:t>产业牵头单位</w:t>
      </w:r>
      <w:r>
        <w:rPr>
          <w:rFonts w:hint="eastAsia" w:ascii="仿宋_GB2312" w:eastAsia="仿宋_GB2312"/>
          <w:color w:val="auto"/>
          <w:sz w:val="32"/>
          <w:szCs w:val="32"/>
          <w:u w:val="none"/>
        </w:rPr>
        <w:t>与入驻</w:t>
      </w:r>
      <w:r>
        <w:rPr>
          <w:rFonts w:hint="eastAsia" w:ascii="仿宋_GB2312" w:eastAsia="仿宋_GB2312"/>
          <w:color w:val="auto"/>
          <w:sz w:val="32"/>
          <w:szCs w:val="32"/>
          <w:u w:val="none"/>
          <w:lang w:eastAsia="zh-CN"/>
        </w:rPr>
        <w:t>企业</w:t>
      </w:r>
      <w:r>
        <w:rPr>
          <w:rFonts w:hint="eastAsia" w:ascii="仿宋_GB2312" w:eastAsia="仿宋_GB2312"/>
          <w:color w:val="auto"/>
          <w:sz w:val="32"/>
          <w:szCs w:val="32"/>
          <w:u w:val="none"/>
        </w:rPr>
        <w:t>签订产业监管协议。入驻</w:t>
      </w:r>
      <w:r>
        <w:rPr>
          <w:rFonts w:hint="eastAsia" w:ascii="仿宋_GB2312" w:eastAsia="仿宋_GB2312"/>
          <w:color w:val="auto"/>
          <w:sz w:val="32"/>
          <w:szCs w:val="32"/>
          <w:u w:val="none"/>
          <w:lang w:eastAsia="zh-CN"/>
        </w:rPr>
        <w:t>企业</w:t>
      </w:r>
      <w:r>
        <w:rPr>
          <w:rFonts w:hint="eastAsia" w:ascii="仿宋_GB2312" w:eastAsia="仿宋_GB2312"/>
          <w:color w:val="auto"/>
          <w:sz w:val="32"/>
          <w:szCs w:val="32"/>
          <w:u w:val="none"/>
        </w:rPr>
        <w:t>凭租</w:t>
      </w:r>
      <w:r>
        <w:rPr>
          <w:rFonts w:hint="eastAsia" w:ascii="仿宋_GB2312" w:eastAsia="仿宋_GB2312"/>
          <w:color w:val="auto"/>
          <w:sz w:val="32"/>
          <w:szCs w:val="32"/>
          <w:u w:val="none"/>
          <w:lang w:eastAsia="zh-CN"/>
        </w:rPr>
        <w:t>售</w:t>
      </w:r>
      <w:r>
        <w:rPr>
          <w:rFonts w:hint="eastAsia" w:ascii="仿宋_GB2312" w:eastAsia="仿宋_GB2312"/>
          <w:color w:val="auto"/>
          <w:sz w:val="32"/>
          <w:szCs w:val="32"/>
          <w:u w:val="none"/>
        </w:rPr>
        <w:t>合同正式</w:t>
      </w:r>
      <w:r>
        <w:rPr>
          <w:rFonts w:hint="eastAsia" w:ascii="仿宋_GB2312" w:eastAsia="仿宋_GB2312"/>
          <w:color w:val="auto"/>
          <w:sz w:val="32"/>
          <w:szCs w:val="32"/>
          <w:u w:val="none"/>
          <w:lang w:eastAsia="zh-CN"/>
        </w:rPr>
        <w:t>入驻</w:t>
      </w:r>
      <w:r>
        <w:rPr>
          <w:rFonts w:hint="eastAsia" w:ascii="仿宋_GB2312" w:eastAsia="仿宋_GB2312"/>
          <w:color w:val="auto"/>
          <w:sz w:val="32"/>
          <w:szCs w:val="32"/>
          <w:u w:val="none"/>
        </w:rPr>
        <w:t>。</w:t>
      </w:r>
    </w:p>
    <w:p>
      <w:pPr>
        <w:pStyle w:val="14"/>
        <w:spacing w:line="560" w:lineRule="exact"/>
        <w:ind w:left="0" w:leftChars="0" w:firstLine="640" w:firstLineChars="200"/>
        <w:rPr>
          <w:rFonts w:hint="eastAsia" w:ascii="仿宋_GB2312" w:hAnsi="楷体" w:eastAsia="仿宋_GB2312"/>
          <w:color w:val="000000" w:themeColor="text1"/>
          <w:sz w:val="32"/>
          <w:szCs w:val="32"/>
          <w:lang w:eastAsia="zh-CN"/>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（五）退出机制。</w:t>
      </w:r>
      <w:r>
        <w:rPr>
          <w:rFonts w:hint="eastAsia" w:ascii="仿宋_GB2312" w:eastAsia="仿宋_GB2312"/>
          <w:color w:val="auto"/>
          <w:sz w:val="32"/>
          <w:szCs w:val="32"/>
          <w:u w:val="none"/>
          <w:lang w:eastAsia="zh-CN"/>
        </w:rPr>
        <w:t>出售类产业用房及配套用房的退出，</w:t>
      </w:r>
      <w:r>
        <w:rPr>
          <w:rFonts w:hint="eastAsia" w:ascii="仿宋_GB2312" w:hAnsi="仿宋_GB2312" w:eastAsia="仿宋_GB2312" w:cs="仿宋_GB2312"/>
          <w:color w:val="auto"/>
          <w:sz w:val="32"/>
          <w:szCs w:val="32"/>
          <w:lang w:val="en-US" w:eastAsia="zh-CN"/>
        </w:rPr>
        <w:t>参照《深圳市优质产业空间供给试点改革方案》（深府函〔2021〕43号）执</w:t>
      </w:r>
      <w:bookmarkStart w:id="0" w:name="_GoBack"/>
      <w:bookmarkEnd w:id="0"/>
      <w:r>
        <w:rPr>
          <w:rFonts w:hint="eastAsia" w:ascii="仿宋_GB2312" w:hAnsi="仿宋_GB2312" w:eastAsia="仿宋_GB2312" w:cs="仿宋_GB2312"/>
          <w:color w:val="auto"/>
          <w:sz w:val="32"/>
          <w:szCs w:val="32"/>
          <w:lang w:val="en-US" w:eastAsia="zh-CN"/>
        </w:rPr>
        <w:t>行；</w:t>
      </w:r>
      <w:r>
        <w:rPr>
          <w:rFonts w:hint="eastAsia" w:ascii="仿宋_GB2312" w:hAnsi="仿宋_GB2312" w:eastAsia="仿宋_GB2312" w:cs="仿宋_GB2312"/>
          <w:color w:val="auto"/>
          <w:sz w:val="32"/>
          <w:szCs w:val="32"/>
          <w:u w:val="none"/>
          <w:lang w:eastAsia="zh-CN"/>
        </w:rPr>
        <w:t>租赁类</w:t>
      </w:r>
      <w:r>
        <w:rPr>
          <w:rFonts w:hint="eastAsia" w:ascii="仿宋_GB2312" w:hAnsi="仿宋_GB2312" w:eastAsia="仿宋_GB2312" w:cs="仿宋_GB2312"/>
          <w:color w:val="auto"/>
          <w:sz w:val="32"/>
          <w:szCs w:val="32"/>
          <w:u w:val="none"/>
        </w:rPr>
        <w:t>入驻企业每年应在规定的时间内向产业牵头单位提交产业监管协议所要求的产值规模（营业收入）、税收等指标的相关证明材料，</w:t>
      </w:r>
      <w:r>
        <w:rPr>
          <w:rFonts w:hint="eastAsia" w:ascii="仿宋_GB2312" w:hAnsi="仿宋_GB2312" w:eastAsia="仿宋_GB2312" w:cs="仿宋_GB2312"/>
          <w:color w:val="auto"/>
          <w:sz w:val="32"/>
          <w:szCs w:val="32"/>
          <w:u w:val="none"/>
          <w:lang w:eastAsia="zh-CN"/>
        </w:rPr>
        <w:t>如</w:t>
      </w:r>
      <w:r>
        <w:rPr>
          <w:rFonts w:hint="eastAsia" w:ascii="仿宋_GB2312" w:hAnsi="仿宋_GB2312" w:eastAsia="仿宋_GB2312" w:cs="仿宋_GB2312"/>
          <w:color w:val="auto"/>
          <w:sz w:val="32"/>
          <w:szCs w:val="32"/>
          <w:u w:val="none"/>
        </w:rPr>
        <w:t>存在</w:t>
      </w:r>
      <w:r>
        <w:rPr>
          <w:rFonts w:hint="eastAsia" w:ascii="仿宋_GB2312" w:hAnsi="仿宋_GB2312" w:eastAsia="仿宋_GB2312" w:cs="仿宋_GB2312"/>
          <w:color w:val="auto"/>
          <w:sz w:val="32"/>
          <w:szCs w:val="32"/>
          <w:u w:val="none"/>
          <w:lang w:eastAsia="zh-CN"/>
        </w:rPr>
        <w:t>违约</w:t>
      </w:r>
      <w:r>
        <w:rPr>
          <w:rFonts w:hint="eastAsia" w:ascii="仿宋_GB2312" w:hAnsi="仿宋_GB2312" w:eastAsia="仿宋_GB2312" w:cs="仿宋_GB2312"/>
          <w:color w:val="auto"/>
          <w:sz w:val="32"/>
          <w:szCs w:val="32"/>
          <w:u w:val="none"/>
        </w:rPr>
        <w:t>情况</w:t>
      </w:r>
      <w:r>
        <w:rPr>
          <w:rFonts w:hint="eastAsia" w:ascii="仿宋_GB2312" w:hAnsi="仿宋_GB2312" w:eastAsia="仿宋_GB2312" w:cs="仿宋_GB2312"/>
          <w:color w:val="auto"/>
          <w:sz w:val="32"/>
          <w:szCs w:val="32"/>
          <w:u w:val="none"/>
          <w:lang w:eastAsia="zh-CN"/>
        </w:rPr>
        <w:t>，则</w:t>
      </w:r>
      <w:r>
        <w:rPr>
          <w:rFonts w:hint="eastAsia" w:ascii="仿宋_GB2312" w:hAnsi="仿宋_GB2312" w:eastAsia="仿宋_GB2312" w:cs="仿宋_GB2312"/>
          <w:color w:val="auto"/>
          <w:sz w:val="32"/>
          <w:szCs w:val="32"/>
          <w:u w:val="none"/>
        </w:rPr>
        <w:t>不再享受租金优惠，</w:t>
      </w:r>
      <w:r>
        <w:rPr>
          <w:rFonts w:hint="eastAsia" w:ascii="仿宋_GB2312" w:hAnsi="仿宋_GB2312" w:eastAsia="仿宋_GB2312" w:cs="仿宋_GB2312"/>
          <w:color w:val="auto"/>
          <w:sz w:val="32"/>
          <w:szCs w:val="32"/>
          <w:u w:val="none"/>
          <w:lang w:eastAsia="zh-CN"/>
        </w:rPr>
        <w:t>根据实际分为</w:t>
      </w:r>
      <w:r>
        <w:rPr>
          <w:rFonts w:hint="eastAsia" w:ascii="仿宋_GB2312" w:hAnsi="仿宋_GB2312" w:eastAsia="仿宋_GB2312" w:cs="仿宋_GB2312"/>
          <w:color w:val="auto"/>
          <w:sz w:val="32"/>
          <w:szCs w:val="32"/>
          <w:u w:val="none"/>
        </w:rPr>
        <w:t>合同期满不再续约</w:t>
      </w:r>
      <w:r>
        <w:rPr>
          <w:rFonts w:hint="eastAsia" w:ascii="仿宋_GB2312" w:hAnsi="仿宋_GB2312" w:eastAsia="仿宋_GB2312" w:cs="仿宋_GB2312"/>
          <w:color w:val="auto"/>
          <w:sz w:val="32"/>
          <w:szCs w:val="32"/>
          <w:u w:val="none"/>
          <w:lang w:eastAsia="zh-CN"/>
        </w:rPr>
        <w:t>和</w:t>
      </w:r>
      <w:r>
        <w:rPr>
          <w:rFonts w:hint="eastAsia" w:ascii="仿宋_GB2312" w:hAnsi="仿宋_GB2312" w:eastAsia="仿宋_GB2312" w:cs="仿宋_GB2312"/>
          <w:color w:val="auto"/>
          <w:sz w:val="32"/>
          <w:szCs w:val="32"/>
          <w:u w:val="none"/>
        </w:rPr>
        <w:t>租赁合同自动终止</w:t>
      </w:r>
      <w:r>
        <w:rPr>
          <w:rFonts w:hint="eastAsia" w:ascii="仿宋_GB2312" w:hAnsi="仿宋_GB2312" w:eastAsia="仿宋_GB2312" w:cs="仿宋_GB2312"/>
          <w:color w:val="auto"/>
          <w:sz w:val="32"/>
          <w:szCs w:val="32"/>
          <w:u w:val="none"/>
          <w:lang w:eastAsia="zh-CN"/>
        </w:rPr>
        <w:t>两种</w:t>
      </w:r>
      <w:r>
        <w:rPr>
          <w:rFonts w:hint="eastAsia" w:ascii="仿宋_GB2312" w:hAnsi="仿宋_GB2312" w:eastAsia="仿宋_GB2312" w:cs="仿宋_GB2312"/>
          <w:color w:val="auto"/>
          <w:sz w:val="32"/>
          <w:szCs w:val="32"/>
          <w:u w:val="none"/>
        </w:rPr>
        <w:t>退出</w:t>
      </w:r>
      <w:r>
        <w:rPr>
          <w:rFonts w:hint="eastAsia" w:ascii="仿宋_GB2312" w:hAnsi="仿宋_GB2312" w:eastAsia="仿宋_GB2312" w:cs="仿宋_GB2312"/>
          <w:color w:val="auto"/>
          <w:sz w:val="32"/>
          <w:szCs w:val="32"/>
          <w:u w:val="none"/>
          <w:lang w:eastAsia="zh-CN"/>
        </w:rPr>
        <w:t>情况，对应不同的</w:t>
      </w:r>
      <w:r>
        <w:rPr>
          <w:rFonts w:hint="eastAsia" w:ascii="仿宋_GB2312" w:hAnsi="仿宋_GB2312" w:eastAsia="仿宋_GB2312" w:cs="仿宋_GB2312"/>
          <w:color w:val="auto"/>
          <w:sz w:val="32"/>
          <w:szCs w:val="32"/>
          <w:u w:val="none"/>
        </w:rPr>
        <w:t>退出相关手续办理</w:t>
      </w:r>
      <w:r>
        <w:rPr>
          <w:rFonts w:hint="eastAsia" w:ascii="仿宋_GB2312" w:hAnsi="仿宋_GB2312" w:eastAsia="仿宋_GB2312" w:cs="仿宋_GB2312"/>
          <w:color w:val="auto"/>
          <w:sz w:val="32"/>
          <w:szCs w:val="32"/>
          <w:u w:val="none"/>
          <w:lang w:eastAsia="zh-CN"/>
        </w:rPr>
        <w:t>方式。</w:t>
      </w:r>
    </w:p>
    <w:p>
      <w:pPr>
        <w:pStyle w:val="14"/>
        <w:spacing w:line="560" w:lineRule="exact"/>
        <w:ind w:left="0" w:leftChars="0" w:firstLine="640" w:firstLineChars="200"/>
        <w:rPr>
          <w:rFonts w:hint="eastAsia" w:ascii="仿宋_GB2312" w:hAnsi="楷体" w:eastAsia="仿宋_GB2312"/>
          <w:color w:val="000000" w:themeColor="text1"/>
          <w:sz w:val="32"/>
          <w:szCs w:val="32"/>
          <w:lang w:eastAsia="zh-CN"/>
          <w14:textFill>
            <w14:solidFill>
              <w14:schemeClr w14:val="tx1"/>
            </w14:solidFill>
          </w14:textFill>
        </w:rPr>
      </w:pPr>
      <w:r>
        <w:rPr>
          <w:rFonts w:hint="eastAsia" w:ascii="仿宋_GB2312" w:hAnsi="楷体" w:eastAsia="仿宋_GB2312"/>
          <w:color w:val="000000" w:themeColor="text1"/>
          <w:sz w:val="32"/>
          <w:szCs w:val="32"/>
          <w:lang w:eastAsia="zh-CN"/>
          <w14:textFill>
            <w14:solidFill>
              <w14:schemeClr w14:val="tx1"/>
            </w14:solidFill>
          </w14:textFill>
        </w:rPr>
        <w:t>专此说明。</w:t>
      </w:r>
    </w:p>
    <w:sectPr>
      <w:footerReference r:id="rId5" w:type="default"/>
      <w:pgSz w:w="11906" w:h="16838"/>
      <w:pgMar w:top="1440" w:right="1746" w:bottom="1440" w:left="1746" w:header="851" w:footer="992" w:gutter="0"/>
      <w:pgNumType w:fmt="decimal"/>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Microsoft YaHei">
    <w:altName w:val="黑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  \* MERGEFORMAT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  \* MERGEFORMAT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B3"/>
    <w:rsid w:val="000005FB"/>
    <w:rsid w:val="000008BA"/>
    <w:rsid w:val="00003F0D"/>
    <w:rsid w:val="00012E36"/>
    <w:rsid w:val="00017DB8"/>
    <w:rsid w:val="000214D3"/>
    <w:rsid w:val="00031127"/>
    <w:rsid w:val="00035ED9"/>
    <w:rsid w:val="000367A4"/>
    <w:rsid w:val="00041244"/>
    <w:rsid w:val="0004589A"/>
    <w:rsid w:val="00047B23"/>
    <w:rsid w:val="0005223D"/>
    <w:rsid w:val="00053B56"/>
    <w:rsid w:val="00054AA6"/>
    <w:rsid w:val="00060CFA"/>
    <w:rsid w:val="00061699"/>
    <w:rsid w:val="00062116"/>
    <w:rsid w:val="00070ACC"/>
    <w:rsid w:val="00082454"/>
    <w:rsid w:val="00093DFA"/>
    <w:rsid w:val="00096AC2"/>
    <w:rsid w:val="000A0170"/>
    <w:rsid w:val="000B54A9"/>
    <w:rsid w:val="000C6CBD"/>
    <w:rsid w:val="000D3852"/>
    <w:rsid w:val="000F0493"/>
    <w:rsid w:val="000F266E"/>
    <w:rsid w:val="000F3770"/>
    <w:rsid w:val="00102217"/>
    <w:rsid w:val="00113D31"/>
    <w:rsid w:val="001157F3"/>
    <w:rsid w:val="001203D1"/>
    <w:rsid w:val="001208C7"/>
    <w:rsid w:val="00121217"/>
    <w:rsid w:val="00123ADB"/>
    <w:rsid w:val="001249AE"/>
    <w:rsid w:val="00127E5F"/>
    <w:rsid w:val="0013037F"/>
    <w:rsid w:val="00132889"/>
    <w:rsid w:val="00133A95"/>
    <w:rsid w:val="00133C49"/>
    <w:rsid w:val="00137298"/>
    <w:rsid w:val="00141AB0"/>
    <w:rsid w:val="001525C8"/>
    <w:rsid w:val="00153562"/>
    <w:rsid w:val="00164F56"/>
    <w:rsid w:val="00165289"/>
    <w:rsid w:val="00170210"/>
    <w:rsid w:val="001708C5"/>
    <w:rsid w:val="00171751"/>
    <w:rsid w:val="00194A86"/>
    <w:rsid w:val="001961A7"/>
    <w:rsid w:val="001963F2"/>
    <w:rsid w:val="001A1954"/>
    <w:rsid w:val="001A31F9"/>
    <w:rsid w:val="001C072C"/>
    <w:rsid w:val="001C4443"/>
    <w:rsid w:val="001D6F9A"/>
    <w:rsid w:val="001E0A25"/>
    <w:rsid w:val="001E0E81"/>
    <w:rsid w:val="001E0F6A"/>
    <w:rsid w:val="001E768B"/>
    <w:rsid w:val="001F2E86"/>
    <w:rsid w:val="001F49F9"/>
    <w:rsid w:val="00203C0A"/>
    <w:rsid w:val="00210EEB"/>
    <w:rsid w:val="00220B93"/>
    <w:rsid w:val="00222066"/>
    <w:rsid w:val="00235ED3"/>
    <w:rsid w:val="00244891"/>
    <w:rsid w:val="0024500B"/>
    <w:rsid w:val="00255D2C"/>
    <w:rsid w:val="00263D0D"/>
    <w:rsid w:val="00267E42"/>
    <w:rsid w:val="00287DD3"/>
    <w:rsid w:val="00292C4A"/>
    <w:rsid w:val="002A4072"/>
    <w:rsid w:val="002A5F5E"/>
    <w:rsid w:val="002A6DBC"/>
    <w:rsid w:val="002A7360"/>
    <w:rsid w:val="002B212A"/>
    <w:rsid w:val="002B27D0"/>
    <w:rsid w:val="002B37E7"/>
    <w:rsid w:val="002B4B47"/>
    <w:rsid w:val="002B5DF7"/>
    <w:rsid w:val="002C7CD9"/>
    <w:rsid w:val="002E016D"/>
    <w:rsid w:val="002E3452"/>
    <w:rsid w:val="002E504B"/>
    <w:rsid w:val="002E5B53"/>
    <w:rsid w:val="002F0BB0"/>
    <w:rsid w:val="00300B5A"/>
    <w:rsid w:val="00305086"/>
    <w:rsid w:val="00311A49"/>
    <w:rsid w:val="003128FD"/>
    <w:rsid w:val="003152E1"/>
    <w:rsid w:val="00320B63"/>
    <w:rsid w:val="0032645E"/>
    <w:rsid w:val="00333B4D"/>
    <w:rsid w:val="00334FC6"/>
    <w:rsid w:val="0033702E"/>
    <w:rsid w:val="00343EC4"/>
    <w:rsid w:val="00354914"/>
    <w:rsid w:val="003667AC"/>
    <w:rsid w:val="003679CE"/>
    <w:rsid w:val="00375BF0"/>
    <w:rsid w:val="00384614"/>
    <w:rsid w:val="003879AD"/>
    <w:rsid w:val="00393DC9"/>
    <w:rsid w:val="00393E4A"/>
    <w:rsid w:val="00394A06"/>
    <w:rsid w:val="003A0D38"/>
    <w:rsid w:val="003A1910"/>
    <w:rsid w:val="003A3632"/>
    <w:rsid w:val="003A4182"/>
    <w:rsid w:val="003A4B03"/>
    <w:rsid w:val="003B2170"/>
    <w:rsid w:val="003C1AE6"/>
    <w:rsid w:val="003C5558"/>
    <w:rsid w:val="003D229A"/>
    <w:rsid w:val="003E6E3F"/>
    <w:rsid w:val="003F5C35"/>
    <w:rsid w:val="0040723A"/>
    <w:rsid w:val="00413DD2"/>
    <w:rsid w:val="0041550A"/>
    <w:rsid w:val="00420222"/>
    <w:rsid w:val="004232F1"/>
    <w:rsid w:val="00425447"/>
    <w:rsid w:val="004373FD"/>
    <w:rsid w:val="004439BD"/>
    <w:rsid w:val="00444467"/>
    <w:rsid w:val="004457D2"/>
    <w:rsid w:val="004465F4"/>
    <w:rsid w:val="00453E5B"/>
    <w:rsid w:val="0045486B"/>
    <w:rsid w:val="00460158"/>
    <w:rsid w:val="004642E2"/>
    <w:rsid w:val="00467200"/>
    <w:rsid w:val="00473F2D"/>
    <w:rsid w:val="00475E15"/>
    <w:rsid w:val="00482B53"/>
    <w:rsid w:val="00487D5B"/>
    <w:rsid w:val="0049175E"/>
    <w:rsid w:val="00491B2E"/>
    <w:rsid w:val="004923D1"/>
    <w:rsid w:val="00496C58"/>
    <w:rsid w:val="004A1DD8"/>
    <w:rsid w:val="004A4A03"/>
    <w:rsid w:val="004A612C"/>
    <w:rsid w:val="004B208C"/>
    <w:rsid w:val="004B7B8B"/>
    <w:rsid w:val="004C1702"/>
    <w:rsid w:val="004C2B0E"/>
    <w:rsid w:val="004C520E"/>
    <w:rsid w:val="004C7366"/>
    <w:rsid w:val="004E5843"/>
    <w:rsid w:val="004E7820"/>
    <w:rsid w:val="00500C29"/>
    <w:rsid w:val="0050529B"/>
    <w:rsid w:val="00514DC3"/>
    <w:rsid w:val="005174F8"/>
    <w:rsid w:val="00527488"/>
    <w:rsid w:val="00531F7D"/>
    <w:rsid w:val="00535E8F"/>
    <w:rsid w:val="00536073"/>
    <w:rsid w:val="00550B0A"/>
    <w:rsid w:val="00554062"/>
    <w:rsid w:val="00554516"/>
    <w:rsid w:val="00556B3C"/>
    <w:rsid w:val="00556D03"/>
    <w:rsid w:val="00556EAD"/>
    <w:rsid w:val="005579EB"/>
    <w:rsid w:val="00562824"/>
    <w:rsid w:val="00564671"/>
    <w:rsid w:val="00582FE9"/>
    <w:rsid w:val="005873BD"/>
    <w:rsid w:val="00591FCA"/>
    <w:rsid w:val="005955F9"/>
    <w:rsid w:val="005977CB"/>
    <w:rsid w:val="005A09CF"/>
    <w:rsid w:val="005A16AE"/>
    <w:rsid w:val="005A461D"/>
    <w:rsid w:val="005B212D"/>
    <w:rsid w:val="005B3B80"/>
    <w:rsid w:val="005B52AD"/>
    <w:rsid w:val="005B6E3C"/>
    <w:rsid w:val="005D1EC3"/>
    <w:rsid w:val="005D33B1"/>
    <w:rsid w:val="005E090E"/>
    <w:rsid w:val="005E517A"/>
    <w:rsid w:val="005E6B2A"/>
    <w:rsid w:val="005F5A2A"/>
    <w:rsid w:val="005F67B9"/>
    <w:rsid w:val="00600B37"/>
    <w:rsid w:val="00604D66"/>
    <w:rsid w:val="00611383"/>
    <w:rsid w:val="00611D7E"/>
    <w:rsid w:val="00620B78"/>
    <w:rsid w:val="006214C8"/>
    <w:rsid w:val="00634123"/>
    <w:rsid w:val="00640D3B"/>
    <w:rsid w:val="00641A65"/>
    <w:rsid w:val="006432B0"/>
    <w:rsid w:val="00647A9F"/>
    <w:rsid w:val="00650113"/>
    <w:rsid w:val="00654BBF"/>
    <w:rsid w:val="006571FC"/>
    <w:rsid w:val="0066143C"/>
    <w:rsid w:val="006707A8"/>
    <w:rsid w:val="006776F3"/>
    <w:rsid w:val="006830E4"/>
    <w:rsid w:val="006A146C"/>
    <w:rsid w:val="006A339D"/>
    <w:rsid w:val="006B0935"/>
    <w:rsid w:val="006B28F8"/>
    <w:rsid w:val="006B5403"/>
    <w:rsid w:val="006D124C"/>
    <w:rsid w:val="006D40AA"/>
    <w:rsid w:val="006E12ED"/>
    <w:rsid w:val="006E3D5D"/>
    <w:rsid w:val="006F01C7"/>
    <w:rsid w:val="006F200C"/>
    <w:rsid w:val="006F4F23"/>
    <w:rsid w:val="006F528B"/>
    <w:rsid w:val="007115A7"/>
    <w:rsid w:val="007129FE"/>
    <w:rsid w:val="007221AB"/>
    <w:rsid w:val="0072625D"/>
    <w:rsid w:val="00742C34"/>
    <w:rsid w:val="00753305"/>
    <w:rsid w:val="00756108"/>
    <w:rsid w:val="007579D7"/>
    <w:rsid w:val="00763CA5"/>
    <w:rsid w:val="00766A07"/>
    <w:rsid w:val="007816D2"/>
    <w:rsid w:val="0078213E"/>
    <w:rsid w:val="00784747"/>
    <w:rsid w:val="00785A2C"/>
    <w:rsid w:val="00787714"/>
    <w:rsid w:val="00792322"/>
    <w:rsid w:val="00793B96"/>
    <w:rsid w:val="00796A4B"/>
    <w:rsid w:val="007C1A01"/>
    <w:rsid w:val="007C30CE"/>
    <w:rsid w:val="007C7FCF"/>
    <w:rsid w:val="007D0EE3"/>
    <w:rsid w:val="007D21CE"/>
    <w:rsid w:val="007D5040"/>
    <w:rsid w:val="007D58E6"/>
    <w:rsid w:val="007E26B4"/>
    <w:rsid w:val="007E522A"/>
    <w:rsid w:val="007F19AA"/>
    <w:rsid w:val="00805B5A"/>
    <w:rsid w:val="00815064"/>
    <w:rsid w:val="00817996"/>
    <w:rsid w:val="00821D98"/>
    <w:rsid w:val="00822E00"/>
    <w:rsid w:val="00825077"/>
    <w:rsid w:val="008258B3"/>
    <w:rsid w:val="00844AAC"/>
    <w:rsid w:val="00854A0D"/>
    <w:rsid w:val="00860B99"/>
    <w:rsid w:val="00864734"/>
    <w:rsid w:val="00876912"/>
    <w:rsid w:val="008818CA"/>
    <w:rsid w:val="00891257"/>
    <w:rsid w:val="0089376A"/>
    <w:rsid w:val="00896AD0"/>
    <w:rsid w:val="008B4601"/>
    <w:rsid w:val="008C5FAA"/>
    <w:rsid w:val="008C6DFF"/>
    <w:rsid w:val="008D0B93"/>
    <w:rsid w:val="008D1366"/>
    <w:rsid w:val="008D21F1"/>
    <w:rsid w:val="008E7757"/>
    <w:rsid w:val="008F1832"/>
    <w:rsid w:val="008F7294"/>
    <w:rsid w:val="00900BFA"/>
    <w:rsid w:val="0090501F"/>
    <w:rsid w:val="009143E3"/>
    <w:rsid w:val="009163D4"/>
    <w:rsid w:val="009215FC"/>
    <w:rsid w:val="00921BDD"/>
    <w:rsid w:val="0093290E"/>
    <w:rsid w:val="00932D15"/>
    <w:rsid w:val="00941584"/>
    <w:rsid w:val="009434E9"/>
    <w:rsid w:val="00946840"/>
    <w:rsid w:val="00952003"/>
    <w:rsid w:val="00964822"/>
    <w:rsid w:val="00971773"/>
    <w:rsid w:val="00973670"/>
    <w:rsid w:val="009740FF"/>
    <w:rsid w:val="00983A1D"/>
    <w:rsid w:val="009934ED"/>
    <w:rsid w:val="009A3967"/>
    <w:rsid w:val="009A5672"/>
    <w:rsid w:val="009B142E"/>
    <w:rsid w:val="009B4FBF"/>
    <w:rsid w:val="009C1572"/>
    <w:rsid w:val="009C546B"/>
    <w:rsid w:val="009D6BA2"/>
    <w:rsid w:val="009E2278"/>
    <w:rsid w:val="009F07EB"/>
    <w:rsid w:val="009F1522"/>
    <w:rsid w:val="00A03929"/>
    <w:rsid w:val="00A1080D"/>
    <w:rsid w:val="00A1419D"/>
    <w:rsid w:val="00A17C65"/>
    <w:rsid w:val="00A44962"/>
    <w:rsid w:val="00A45D81"/>
    <w:rsid w:val="00A46E56"/>
    <w:rsid w:val="00A60EB9"/>
    <w:rsid w:val="00A66BE6"/>
    <w:rsid w:val="00A679DB"/>
    <w:rsid w:val="00A709D8"/>
    <w:rsid w:val="00A73B43"/>
    <w:rsid w:val="00A762E3"/>
    <w:rsid w:val="00A77DE9"/>
    <w:rsid w:val="00A801F4"/>
    <w:rsid w:val="00A842D1"/>
    <w:rsid w:val="00AA0E51"/>
    <w:rsid w:val="00AA1542"/>
    <w:rsid w:val="00AB0766"/>
    <w:rsid w:val="00AB2F3E"/>
    <w:rsid w:val="00AB47CE"/>
    <w:rsid w:val="00AD128B"/>
    <w:rsid w:val="00AD1AD0"/>
    <w:rsid w:val="00AD472A"/>
    <w:rsid w:val="00AF0FED"/>
    <w:rsid w:val="00AF3B32"/>
    <w:rsid w:val="00AF56EB"/>
    <w:rsid w:val="00AF6A68"/>
    <w:rsid w:val="00B201AD"/>
    <w:rsid w:val="00B222FB"/>
    <w:rsid w:val="00B23050"/>
    <w:rsid w:val="00B4410D"/>
    <w:rsid w:val="00B505DD"/>
    <w:rsid w:val="00B510CF"/>
    <w:rsid w:val="00B54BA4"/>
    <w:rsid w:val="00B67105"/>
    <w:rsid w:val="00B726F5"/>
    <w:rsid w:val="00B77183"/>
    <w:rsid w:val="00B83E74"/>
    <w:rsid w:val="00B8443A"/>
    <w:rsid w:val="00B956BD"/>
    <w:rsid w:val="00BB2333"/>
    <w:rsid w:val="00BB2DFC"/>
    <w:rsid w:val="00BC3820"/>
    <w:rsid w:val="00BD0950"/>
    <w:rsid w:val="00BD4027"/>
    <w:rsid w:val="00BD62CF"/>
    <w:rsid w:val="00BD63D8"/>
    <w:rsid w:val="00BD7C42"/>
    <w:rsid w:val="00BE14FF"/>
    <w:rsid w:val="00BE4F1E"/>
    <w:rsid w:val="00BE607D"/>
    <w:rsid w:val="00BF530B"/>
    <w:rsid w:val="00BF64AE"/>
    <w:rsid w:val="00C01C0F"/>
    <w:rsid w:val="00C02E72"/>
    <w:rsid w:val="00C05FDD"/>
    <w:rsid w:val="00C155A0"/>
    <w:rsid w:val="00C16118"/>
    <w:rsid w:val="00C244B3"/>
    <w:rsid w:val="00C27A7D"/>
    <w:rsid w:val="00C31FC4"/>
    <w:rsid w:val="00C36C41"/>
    <w:rsid w:val="00C43303"/>
    <w:rsid w:val="00C71508"/>
    <w:rsid w:val="00C742CC"/>
    <w:rsid w:val="00C7530A"/>
    <w:rsid w:val="00C7578A"/>
    <w:rsid w:val="00C771C8"/>
    <w:rsid w:val="00C77C0C"/>
    <w:rsid w:val="00C81BE0"/>
    <w:rsid w:val="00C85214"/>
    <w:rsid w:val="00C965B9"/>
    <w:rsid w:val="00C979BF"/>
    <w:rsid w:val="00CA5926"/>
    <w:rsid w:val="00CB3888"/>
    <w:rsid w:val="00CB6735"/>
    <w:rsid w:val="00CC223E"/>
    <w:rsid w:val="00CD3FA4"/>
    <w:rsid w:val="00CD4661"/>
    <w:rsid w:val="00CE6869"/>
    <w:rsid w:val="00CF19D5"/>
    <w:rsid w:val="00CF3E1A"/>
    <w:rsid w:val="00CF42E2"/>
    <w:rsid w:val="00CF58ED"/>
    <w:rsid w:val="00CF5BBD"/>
    <w:rsid w:val="00D0759D"/>
    <w:rsid w:val="00D07904"/>
    <w:rsid w:val="00D14798"/>
    <w:rsid w:val="00D2003C"/>
    <w:rsid w:val="00D200BE"/>
    <w:rsid w:val="00D23A0D"/>
    <w:rsid w:val="00D32B4B"/>
    <w:rsid w:val="00D40A92"/>
    <w:rsid w:val="00D4200B"/>
    <w:rsid w:val="00D5362A"/>
    <w:rsid w:val="00D55D0D"/>
    <w:rsid w:val="00D61467"/>
    <w:rsid w:val="00D6246C"/>
    <w:rsid w:val="00D80703"/>
    <w:rsid w:val="00D81BD7"/>
    <w:rsid w:val="00D85224"/>
    <w:rsid w:val="00D86059"/>
    <w:rsid w:val="00D907A3"/>
    <w:rsid w:val="00D9149F"/>
    <w:rsid w:val="00D92861"/>
    <w:rsid w:val="00D97526"/>
    <w:rsid w:val="00DA5EC2"/>
    <w:rsid w:val="00DB1AB9"/>
    <w:rsid w:val="00DB79A8"/>
    <w:rsid w:val="00DC1BD9"/>
    <w:rsid w:val="00DC2612"/>
    <w:rsid w:val="00DC2871"/>
    <w:rsid w:val="00DC5115"/>
    <w:rsid w:val="00DD46BC"/>
    <w:rsid w:val="00DE3B65"/>
    <w:rsid w:val="00DE54FB"/>
    <w:rsid w:val="00DF385C"/>
    <w:rsid w:val="00DF3F82"/>
    <w:rsid w:val="00DF5392"/>
    <w:rsid w:val="00E029DD"/>
    <w:rsid w:val="00E05EE1"/>
    <w:rsid w:val="00E13481"/>
    <w:rsid w:val="00E21374"/>
    <w:rsid w:val="00E21870"/>
    <w:rsid w:val="00E22298"/>
    <w:rsid w:val="00E24A51"/>
    <w:rsid w:val="00E321FD"/>
    <w:rsid w:val="00E3747D"/>
    <w:rsid w:val="00E4187F"/>
    <w:rsid w:val="00E51A46"/>
    <w:rsid w:val="00E53F0F"/>
    <w:rsid w:val="00E571FC"/>
    <w:rsid w:val="00E61759"/>
    <w:rsid w:val="00E661E8"/>
    <w:rsid w:val="00E824FF"/>
    <w:rsid w:val="00E87635"/>
    <w:rsid w:val="00E87DE6"/>
    <w:rsid w:val="00E91516"/>
    <w:rsid w:val="00EA3489"/>
    <w:rsid w:val="00EA75ED"/>
    <w:rsid w:val="00EC2897"/>
    <w:rsid w:val="00EC2938"/>
    <w:rsid w:val="00EC6986"/>
    <w:rsid w:val="00ED06E8"/>
    <w:rsid w:val="00ED4536"/>
    <w:rsid w:val="00EE0A11"/>
    <w:rsid w:val="00EE187F"/>
    <w:rsid w:val="00EE2C63"/>
    <w:rsid w:val="00EF1EBF"/>
    <w:rsid w:val="00F02F5D"/>
    <w:rsid w:val="00F07E38"/>
    <w:rsid w:val="00F11569"/>
    <w:rsid w:val="00F12E7A"/>
    <w:rsid w:val="00F139FD"/>
    <w:rsid w:val="00F142AA"/>
    <w:rsid w:val="00F221EF"/>
    <w:rsid w:val="00F2343E"/>
    <w:rsid w:val="00F243B6"/>
    <w:rsid w:val="00F42E52"/>
    <w:rsid w:val="00F45352"/>
    <w:rsid w:val="00F55625"/>
    <w:rsid w:val="00F7243A"/>
    <w:rsid w:val="00F80420"/>
    <w:rsid w:val="00F80A2B"/>
    <w:rsid w:val="00F82EAB"/>
    <w:rsid w:val="00F82EC8"/>
    <w:rsid w:val="00F84104"/>
    <w:rsid w:val="00F85FD2"/>
    <w:rsid w:val="00FA43A4"/>
    <w:rsid w:val="00FB3FA7"/>
    <w:rsid w:val="00FC3664"/>
    <w:rsid w:val="00FD644B"/>
    <w:rsid w:val="00FE46A3"/>
    <w:rsid w:val="00FE7584"/>
    <w:rsid w:val="00FF6244"/>
    <w:rsid w:val="00FF7021"/>
    <w:rsid w:val="00FF7751"/>
    <w:rsid w:val="05AE57EF"/>
    <w:rsid w:val="0AFF00D5"/>
    <w:rsid w:val="0B6C0AF6"/>
    <w:rsid w:val="110A5880"/>
    <w:rsid w:val="120D0CF1"/>
    <w:rsid w:val="12A674BE"/>
    <w:rsid w:val="13AE0940"/>
    <w:rsid w:val="15A05EA3"/>
    <w:rsid w:val="1A756C01"/>
    <w:rsid w:val="1E8F2386"/>
    <w:rsid w:val="1F414222"/>
    <w:rsid w:val="249870BF"/>
    <w:rsid w:val="2B350E53"/>
    <w:rsid w:val="2F295044"/>
    <w:rsid w:val="2FDB0D2D"/>
    <w:rsid w:val="36055DBA"/>
    <w:rsid w:val="372E6126"/>
    <w:rsid w:val="37B05E7A"/>
    <w:rsid w:val="37FC44B8"/>
    <w:rsid w:val="3CC712EE"/>
    <w:rsid w:val="428C745C"/>
    <w:rsid w:val="48065CE5"/>
    <w:rsid w:val="48745923"/>
    <w:rsid w:val="49046C6B"/>
    <w:rsid w:val="49D22CFF"/>
    <w:rsid w:val="4BEC2303"/>
    <w:rsid w:val="4CEF3D6E"/>
    <w:rsid w:val="52AB56A1"/>
    <w:rsid w:val="588731F2"/>
    <w:rsid w:val="5B0E05DF"/>
    <w:rsid w:val="5E783250"/>
    <w:rsid w:val="61327DEA"/>
    <w:rsid w:val="62712918"/>
    <w:rsid w:val="6281784E"/>
    <w:rsid w:val="69530629"/>
    <w:rsid w:val="69DB8943"/>
    <w:rsid w:val="6B0313FB"/>
    <w:rsid w:val="6B30384A"/>
    <w:rsid w:val="72921283"/>
    <w:rsid w:val="73F05507"/>
    <w:rsid w:val="747B7BA4"/>
    <w:rsid w:val="752B3DC9"/>
    <w:rsid w:val="778E8709"/>
    <w:rsid w:val="7E79A364"/>
    <w:rsid w:val="7F914AE3"/>
    <w:rsid w:val="937F1727"/>
    <w:rsid w:val="AFF735DE"/>
    <w:rsid w:val="C65F659D"/>
    <w:rsid w:val="C90D3C24"/>
    <w:rsid w:val="EDFE16F2"/>
    <w:rsid w:val="FFFD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center"/>
    </w:pPr>
    <w:rPr>
      <w:rFonts w:ascii="宋体" w:hAnsi="宋体" w:eastAsia="宋体" w:cs="Times New Roman"/>
      <w:b/>
      <w:kern w:val="2"/>
      <w:sz w:val="44"/>
      <w:szCs w:val="44"/>
      <w:lang w:val="en-US" w:eastAsia="zh-CN" w:bidi="ar-SA"/>
    </w:rPr>
  </w:style>
  <w:style w:type="paragraph" w:styleId="2">
    <w:name w:val="heading 1"/>
    <w:basedOn w:val="1"/>
    <w:next w:val="1"/>
    <w:link w:val="17"/>
    <w:qFormat/>
    <w:uiPriority w:val="0"/>
    <w:pPr>
      <w:keepNext/>
      <w:keepLines/>
      <w:spacing w:before="50" w:beforeLines="50" w:after="50" w:afterLines="50" w:line="420" w:lineRule="auto"/>
      <w:ind w:firstLine="200" w:firstLineChars="200"/>
      <w:jc w:val="left"/>
      <w:outlineLvl w:val="0"/>
    </w:pPr>
    <w:rPr>
      <w:rFonts w:asciiTheme="minorHAnsi" w:hAnsiTheme="minorHAnsi" w:cstheme="minorBidi"/>
      <w:bCs/>
      <w:kern w:val="44"/>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unhideWhenUsed/>
    <w:qFormat/>
    <w:uiPriority w:val="99"/>
    <w:pPr>
      <w:spacing w:line="240" w:lineRule="auto"/>
    </w:pPr>
    <w:rPr>
      <w:sz w:val="18"/>
      <w:szCs w:val="18"/>
    </w:rPr>
  </w:style>
  <w:style w:type="paragraph" w:styleId="4">
    <w:name w:val="footer"/>
    <w:basedOn w:val="1"/>
    <w:link w:val="16"/>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spacing w:line="240" w:lineRule="atLeast"/>
    </w:pPr>
    <w:rPr>
      <w:sz w:val="18"/>
      <w:szCs w:val="18"/>
    </w:rPr>
  </w:style>
  <w:style w:type="paragraph" w:styleId="6">
    <w:name w:val="Normal (Web)"/>
    <w:basedOn w:val="1"/>
    <w:unhideWhenUsed/>
    <w:qFormat/>
    <w:uiPriority w:val="99"/>
    <w:pPr>
      <w:widowControl/>
      <w:spacing w:before="100" w:beforeAutospacing="1" w:after="100" w:afterAutospacing="1" w:line="240" w:lineRule="auto"/>
      <w:jc w:val="left"/>
    </w:pPr>
    <w:rPr>
      <w:rFonts w:cs="宋体"/>
      <w:b w:val="0"/>
      <w:kern w:val="0"/>
      <w:sz w:val="24"/>
      <w:szCs w:val="24"/>
    </w:rPr>
  </w:style>
  <w:style w:type="table" w:styleId="8">
    <w:name w:val="Table Grid"/>
    <w:basedOn w:val="7"/>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paragraph" w:customStyle="1" w:styleId="11">
    <w:name w:val="正文顶格"/>
    <w:basedOn w:val="12"/>
    <w:link w:val="13"/>
    <w:qFormat/>
    <w:uiPriority w:val="99"/>
    <w:pPr>
      <w:spacing w:line="560" w:lineRule="exact"/>
      <w:jc w:val="both"/>
    </w:pPr>
    <w:rPr>
      <w:rFonts w:ascii="仿宋_GB2312" w:eastAsia="仿宋_GB2312"/>
      <w:b w:val="0"/>
      <w:sz w:val="32"/>
      <w:szCs w:val="32"/>
    </w:rPr>
  </w:style>
  <w:style w:type="paragraph" w:styleId="12">
    <w:name w:val="No Spacing"/>
    <w:qFormat/>
    <w:uiPriority w:val="1"/>
    <w:pPr>
      <w:widowControl w:val="0"/>
      <w:jc w:val="center"/>
    </w:pPr>
    <w:rPr>
      <w:rFonts w:ascii="宋体" w:hAnsi="宋体" w:eastAsia="宋体" w:cs="Times New Roman"/>
      <w:b/>
      <w:kern w:val="2"/>
      <w:sz w:val="44"/>
      <w:szCs w:val="44"/>
      <w:lang w:val="en-US" w:eastAsia="zh-CN" w:bidi="ar-SA"/>
    </w:rPr>
  </w:style>
  <w:style w:type="character" w:customStyle="1" w:styleId="13">
    <w:name w:val="正文顶格 Char"/>
    <w:basedOn w:val="9"/>
    <w:link w:val="11"/>
    <w:qFormat/>
    <w:locked/>
    <w:uiPriority w:val="99"/>
    <w:rPr>
      <w:rFonts w:ascii="仿宋_GB2312" w:hAnsi="宋体" w:eastAsia="仿宋_GB2312" w:cs="Times New Roman"/>
      <w:sz w:val="32"/>
      <w:szCs w:val="32"/>
    </w:rPr>
  </w:style>
  <w:style w:type="paragraph" w:customStyle="1" w:styleId="14">
    <w:name w:val="列出段落2"/>
    <w:basedOn w:val="1"/>
    <w:qFormat/>
    <w:uiPriority w:val="99"/>
    <w:pPr>
      <w:spacing w:line="240" w:lineRule="auto"/>
      <w:ind w:firstLine="420" w:firstLineChars="200"/>
      <w:jc w:val="both"/>
    </w:pPr>
    <w:rPr>
      <w:rFonts w:ascii="Calibri" w:hAnsi="Calibri"/>
      <w:b w:val="0"/>
      <w:sz w:val="21"/>
      <w:szCs w:val="22"/>
    </w:rPr>
  </w:style>
  <w:style w:type="character" w:customStyle="1" w:styleId="15">
    <w:name w:val="页眉 Char"/>
    <w:basedOn w:val="9"/>
    <w:link w:val="5"/>
    <w:qFormat/>
    <w:uiPriority w:val="99"/>
    <w:rPr>
      <w:rFonts w:ascii="宋体" w:hAnsi="宋体" w:eastAsia="宋体" w:cs="Times New Roman"/>
      <w:b/>
      <w:sz w:val="18"/>
      <w:szCs w:val="18"/>
    </w:rPr>
  </w:style>
  <w:style w:type="character" w:customStyle="1" w:styleId="16">
    <w:name w:val="页脚 Char"/>
    <w:basedOn w:val="9"/>
    <w:link w:val="4"/>
    <w:qFormat/>
    <w:uiPriority w:val="99"/>
    <w:rPr>
      <w:rFonts w:ascii="宋体" w:hAnsi="宋体" w:eastAsia="宋体" w:cs="Times New Roman"/>
      <w:b/>
      <w:sz w:val="18"/>
      <w:szCs w:val="18"/>
    </w:rPr>
  </w:style>
  <w:style w:type="character" w:customStyle="1" w:styleId="17">
    <w:name w:val="标题 1 Char"/>
    <w:basedOn w:val="9"/>
    <w:link w:val="2"/>
    <w:qFormat/>
    <w:uiPriority w:val="0"/>
    <w:rPr>
      <w:rFonts w:eastAsia="宋体"/>
      <w:b/>
      <w:bCs/>
      <w:kern w:val="44"/>
      <w:sz w:val="32"/>
      <w:szCs w:val="44"/>
    </w:rPr>
  </w:style>
  <w:style w:type="character" w:customStyle="1" w:styleId="18">
    <w:name w:val="批注框文本 Char"/>
    <w:basedOn w:val="9"/>
    <w:link w:val="3"/>
    <w:semiHidden/>
    <w:qFormat/>
    <w:uiPriority w:val="99"/>
    <w:rPr>
      <w:rFonts w:ascii="宋体" w:hAnsi="宋体" w:eastAsia="宋体" w:cs="Times New Roman"/>
      <w:b/>
      <w:kern w:val="2"/>
      <w:sz w:val="18"/>
      <w:szCs w:val="18"/>
    </w:rPr>
  </w:style>
  <w:style w:type="paragraph" w:customStyle="1" w:styleId="19">
    <w:name w:val="Revision"/>
    <w:hidden/>
    <w:semiHidden/>
    <w:qFormat/>
    <w:uiPriority w:val="99"/>
    <w:rPr>
      <w:rFonts w:ascii="宋体" w:hAnsi="宋体" w:eastAsia="宋体" w:cs="Times New Roman"/>
      <w:b/>
      <w:kern w:val="2"/>
      <w:sz w:val="44"/>
      <w:szCs w:val="44"/>
      <w:lang w:val="en-US" w:eastAsia="zh-CN" w:bidi="ar-SA"/>
    </w:rPr>
  </w:style>
  <w:style w:type="paragraph" w:customStyle="1" w:styleId="20">
    <w:name w:val="正文空2字"/>
    <w:basedOn w:val="21"/>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21">
    <w:name w:val="左对齐正文"/>
    <w:qFormat/>
    <w:uiPriority w:val="99"/>
    <w:pPr>
      <w:spacing w:after="160" w:line="259" w:lineRule="auto"/>
    </w:pPr>
    <w:rPr>
      <w:rFonts w:ascii="Calibri" w:hAnsi="Calibri" w:eastAsia="仿宋_GB2312" w:cs="Calibri"/>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597</Words>
  <Characters>3404</Characters>
  <Lines>28</Lines>
  <Paragraphs>7</Paragraphs>
  <TotalTime>0</TotalTime>
  <ScaleCrop>false</ScaleCrop>
  <LinksUpToDate>false</LinksUpToDate>
  <CharactersWithSpaces>3994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2022-09-02T09:34:00Z</dcterms:created>
  <dc:creator>王海波</dc:creator>
  <cp:lastModifiedBy>zhangaijing</cp:lastModifiedBy>
  <cp:lastPrinted>2021-10-22T08:30:00Z</cp:lastPrinted>
  <dcterms:modified xsi:type="dcterms:W3CDTF">2023-05-18T18:27:04Z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