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pPr>
      <w:r>
        <w:rPr>
          <w:w w:val="95"/>
        </w:rPr>
        <w:t>深圳市龙华区人民政府办公室关于印发</w:t>
      </w:r>
    </w:p>
    <w:p>
      <w:pPr>
        <w:keepNext w:val="0"/>
        <w:keepLines w:val="0"/>
        <w:pageBreakBefore w:val="0"/>
        <w:widowControl w:val="0"/>
        <w:kinsoku/>
        <w:wordWrap/>
        <w:overflowPunct/>
        <w:topLinePunct w:val="0"/>
        <w:autoSpaceDE w:val="0"/>
        <w:autoSpaceDN w:val="0"/>
        <w:bidi w:val="0"/>
        <w:adjustRightInd/>
        <w:snapToGrid/>
        <w:spacing w:before="61" w:line="560" w:lineRule="exact"/>
        <w:ind w:left="1171" w:right="1180" w:firstLine="0"/>
        <w:jc w:val="center"/>
        <w:textAlignment w:val="auto"/>
        <w:rPr>
          <w:rFonts w:hint="eastAsia" w:ascii="方正小标宋简体" w:eastAsia="方正小标宋简体"/>
          <w:sz w:val="44"/>
        </w:rPr>
      </w:pPr>
      <w:r>
        <w:rPr>
          <w:rFonts w:hint="eastAsia" w:ascii="方正小标宋简体" w:eastAsia="方正小标宋简体"/>
          <w:w w:val="95"/>
          <w:sz w:val="44"/>
        </w:rPr>
        <w:t>《龙华区个体工商户转型升级为企业奖励资金实施方案》的通知</w:t>
      </w:r>
    </w:p>
    <w:p>
      <w:pPr>
        <w:pStyle w:val="3"/>
        <w:keepNext w:val="0"/>
        <w:keepLines w:val="0"/>
        <w:pageBreakBefore w:val="0"/>
        <w:widowControl w:val="0"/>
        <w:kinsoku/>
        <w:wordWrap/>
        <w:overflowPunct/>
        <w:topLinePunct w:val="0"/>
        <w:autoSpaceDE w:val="0"/>
        <w:autoSpaceDN w:val="0"/>
        <w:bidi w:val="0"/>
        <w:adjustRightInd/>
        <w:snapToGrid/>
        <w:spacing w:before="11" w:line="560" w:lineRule="exact"/>
        <w:textAlignment w:val="auto"/>
        <w:rPr>
          <w:rFonts w:ascii="方正小标宋简体"/>
          <w:sz w:val="39"/>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6"/>
        <w:textAlignment w:val="auto"/>
      </w:pPr>
      <w:r>
        <w:rPr>
          <w:w w:val="95"/>
        </w:rPr>
        <w:t>各有关单位</w:t>
      </w:r>
    </w:p>
    <w:p>
      <w:pPr>
        <w:pStyle w:val="3"/>
        <w:keepNext w:val="0"/>
        <w:keepLines w:val="0"/>
        <w:pageBreakBefore w:val="0"/>
        <w:widowControl w:val="0"/>
        <w:kinsoku/>
        <w:wordWrap/>
        <w:overflowPunct/>
        <w:topLinePunct w:val="0"/>
        <w:autoSpaceDE w:val="0"/>
        <w:autoSpaceDN w:val="0"/>
        <w:bidi w:val="0"/>
        <w:adjustRightInd/>
        <w:snapToGrid/>
        <w:spacing w:before="142" w:line="560" w:lineRule="exact"/>
        <w:ind w:left="106" w:right="116" w:firstLine="640"/>
        <w:jc w:val="both"/>
        <w:textAlignment w:val="auto"/>
      </w:pPr>
      <w:r>
        <w:rPr>
          <w:spacing w:val="5"/>
        </w:rPr>
        <w:t>现将《龙华区个体工商户转型升级为企业奖励资金实施方</w:t>
      </w:r>
      <w:r>
        <w:rPr>
          <w:spacing w:val="-11"/>
          <w:w w:val="95"/>
        </w:rPr>
        <w:t>案》印发给你们，请遵照执行。执行过程中遇到问题，请径向市市场监督管理局龙华监管局反馈。</w:t>
      </w:r>
    </w:p>
    <w:p>
      <w:pPr>
        <w:pStyle w:val="3"/>
        <w:keepNext w:val="0"/>
        <w:keepLines w:val="0"/>
        <w:pageBreakBefore w:val="0"/>
        <w:widowControl w:val="0"/>
        <w:kinsoku/>
        <w:wordWrap/>
        <w:overflowPunct/>
        <w:topLinePunct w:val="0"/>
        <w:autoSpaceDE w:val="0"/>
        <w:autoSpaceDN w:val="0"/>
        <w:bidi w:val="0"/>
        <w:adjustRightInd/>
        <w:snapToGrid/>
        <w:spacing w:before="33" w:line="560" w:lineRule="exact"/>
        <w:ind w:left="747"/>
        <w:textAlignment w:val="auto"/>
      </w:pPr>
      <w:r>
        <w:rPr>
          <w:w w:val="95"/>
        </w:rPr>
        <w:t>特此通知</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pPr>
    </w:p>
    <w:p>
      <w:pPr>
        <w:pStyle w:val="3"/>
        <w:keepNext w:val="0"/>
        <w:keepLines w:val="0"/>
        <w:pageBreakBefore w:val="0"/>
        <w:widowControl w:val="0"/>
        <w:kinsoku/>
        <w:wordWrap/>
        <w:overflowPunct/>
        <w:topLinePunct w:val="0"/>
        <w:autoSpaceDE w:val="0"/>
        <w:autoSpaceDN w:val="0"/>
        <w:bidi w:val="0"/>
        <w:adjustRightInd/>
        <w:snapToGrid/>
        <w:spacing w:before="6" w:line="560" w:lineRule="exact"/>
        <w:textAlignment w:val="auto"/>
        <w:rPr>
          <w:sz w:val="41"/>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right="661" w:firstLine="4256" w:firstLineChars="1400"/>
        <w:jc w:val="both"/>
        <w:textAlignment w:val="auto"/>
      </w:pPr>
      <w:r>
        <w:rPr>
          <w:w w:val="95"/>
        </w:rPr>
        <w:t>深圳市龙华区人民政府办公室</w:t>
      </w:r>
    </w:p>
    <w:p>
      <w:pPr>
        <w:pStyle w:val="3"/>
        <w:keepNext w:val="0"/>
        <w:keepLines w:val="0"/>
        <w:pageBreakBefore w:val="0"/>
        <w:widowControl w:val="0"/>
        <w:kinsoku/>
        <w:wordWrap/>
        <w:overflowPunct/>
        <w:topLinePunct w:val="0"/>
        <w:autoSpaceDE w:val="0"/>
        <w:autoSpaceDN w:val="0"/>
        <w:bidi w:val="0"/>
        <w:adjustRightInd/>
        <w:snapToGrid/>
        <w:spacing w:before="140" w:line="560" w:lineRule="exact"/>
        <w:ind w:left="4426" w:right="661"/>
        <w:jc w:val="center"/>
        <w:textAlignment w:val="auto"/>
        <w:sectPr>
          <w:type w:val="continuous"/>
          <w:pgSz w:w="11920" w:h="16850"/>
          <w:pgMar w:top="2098" w:right="1474" w:bottom="1984" w:left="1587" w:header="720" w:footer="720" w:gutter="0"/>
        </w:sectPr>
      </w:pPr>
      <w:r>
        <w:t>2022</w:t>
      </w:r>
      <w:r>
        <w:rPr>
          <w:spacing w:val="-55"/>
        </w:rPr>
        <w:t xml:space="preserve"> 年 </w:t>
      </w:r>
      <w:r>
        <w:t>12</w:t>
      </w:r>
      <w:r>
        <w:rPr>
          <w:spacing w:val="-55"/>
        </w:rPr>
        <w:t xml:space="preserve"> 月 </w:t>
      </w:r>
      <w:r>
        <w:t>20</w:t>
      </w:r>
      <w:r>
        <w:rPr>
          <w:spacing w:val="-41"/>
        </w:rPr>
        <w:t xml:space="preserve"> 日</w:t>
      </w:r>
    </w:p>
    <w:p>
      <w:pPr>
        <w:pStyle w:val="3"/>
        <w:spacing w:before="7"/>
        <w:rPr>
          <w:sz w:val="15"/>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kern w:val="2"/>
          <w:sz w:val="44"/>
          <w:szCs w:val="44"/>
          <w:highlight w:val="none"/>
          <w:lang w:val="en-US" w:eastAsia="zh-CN" w:bidi="ar"/>
        </w:rPr>
      </w:pPr>
      <w:r>
        <w:rPr>
          <w:rFonts w:hint="eastAsia" w:ascii="方正小标宋简体" w:hAnsi="方正小标宋简体" w:eastAsia="方正小标宋简体" w:cs="方正小标宋简体"/>
          <w:bCs/>
          <w:kern w:val="2"/>
          <w:sz w:val="44"/>
          <w:szCs w:val="44"/>
          <w:highlight w:val="none"/>
          <w:lang w:val="en-US" w:eastAsia="zh-CN" w:bidi="ar"/>
        </w:rPr>
        <w:t>龙华区个体工商户转型升级为企业</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kern w:val="2"/>
          <w:sz w:val="44"/>
          <w:szCs w:val="44"/>
          <w:highlight w:val="none"/>
          <w:lang w:val="en-US" w:eastAsia="zh-CN" w:bidi="ar"/>
        </w:rPr>
      </w:pPr>
      <w:r>
        <w:rPr>
          <w:rFonts w:hint="eastAsia" w:ascii="方正小标宋简体" w:hAnsi="方正小标宋简体" w:eastAsia="方正小标宋简体" w:cs="方正小标宋简体"/>
          <w:bCs/>
          <w:kern w:val="2"/>
          <w:sz w:val="44"/>
          <w:szCs w:val="44"/>
          <w:highlight w:val="none"/>
          <w:lang w:val="en-US" w:eastAsia="zh-CN" w:bidi="ar"/>
        </w:rPr>
        <w:t>奖励资金实施方案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Calibri" w:eastAsia="仿宋_GB2312" w:cs="Times New Roman"/>
          <w:bCs/>
          <w:kern w:val="2"/>
          <w:sz w:val="32"/>
          <w:szCs w:val="32"/>
          <w:highlight w:val="none"/>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为贯彻落实市政府关于培育壮大市场主体的部署，</w:t>
      </w:r>
      <w:r>
        <w:rPr>
          <w:rFonts w:hint="eastAsia" w:ascii="仿宋_GB2312" w:hAnsi="仿宋_GB2312" w:eastAsia="仿宋_GB2312" w:cs="仿宋_GB2312"/>
          <w:kern w:val="2"/>
          <w:sz w:val="32"/>
          <w:szCs w:val="32"/>
          <w:highlight w:val="none"/>
          <w:lang w:val="en-US" w:eastAsia="zh-CN" w:bidi="ar"/>
        </w:rPr>
        <w:t>进一步加大市场主体培育力度，鼓励、支持和引导个体工商户转型升级，建立现代企业制度，更大激发市场主体活力，拓展成长空间，为我市经济社会持续健康发展提供动力支持，</w:t>
      </w:r>
      <w:r>
        <w:rPr>
          <w:rFonts w:hint="eastAsia" w:ascii="仿宋_GB2312" w:hAnsi="Calibri" w:eastAsia="仿宋_GB2312" w:cs="Times New Roman"/>
          <w:bCs/>
          <w:kern w:val="2"/>
          <w:sz w:val="32"/>
          <w:szCs w:val="32"/>
          <w:highlight w:val="none"/>
          <w:lang w:val="en-US" w:eastAsia="zh-CN" w:bidi="ar"/>
        </w:rPr>
        <w:t>根据《深圳市人民政府关于加快培育壮大市场主体的实施意见》（深府[2022]31号）、《深圳市人民政府办公厅关于印发深圳市关于深入推进个体工商户转型升级建立现代企业制度的实施方案的通知》（深府办函〔2022〕71号）和《深圳市“个转企”工作专班关于尽快落实“个转企”奖励政策的通知》、《深圳市“个转企”工作专班关于落实“个转企”奖励政策有关问题的指导意见》、《深圳市“个转企”工作专班关于“个转企”奖励政策补充意见的通知》等文件要求</w:t>
      </w:r>
      <w:r>
        <w:rPr>
          <w:rFonts w:hint="eastAsia" w:ascii="仿宋_GB2312" w:hAnsi="宋体" w:eastAsia="仿宋_GB2312" w:cs="Times New Roman"/>
          <w:color w:val="000000"/>
          <w:kern w:val="2"/>
          <w:sz w:val="32"/>
          <w:szCs w:val="32"/>
          <w:highlight w:val="none"/>
          <w:lang w:val="en-US" w:eastAsia="zh-CN" w:bidi="ar"/>
        </w:rPr>
        <w:t>,</w:t>
      </w:r>
      <w:r>
        <w:rPr>
          <w:rFonts w:hint="eastAsia" w:ascii="仿宋_GB2312" w:hAnsi="Calibri" w:eastAsia="仿宋_GB2312" w:cs="Times New Roman"/>
          <w:bCs/>
          <w:kern w:val="2"/>
          <w:sz w:val="32"/>
          <w:szCs w:val="32"/>
          <w:highlight w:val="none"/>
          <w:lang w:val="en-US" w:eastAsia="zh-CN" w:bidi="ar"/>
        </w:rPr>
        <w:t xml:space="preserve"> 特制定本方案。</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黑体" w:hAnsi="黑体" w:eastAsia="黑体" w:cs="仿宋_GB2312"/>
          <w:b/>
          <w:sz w:val="32"/>
          <w:szCs w:val="32"/>
          <w:highlight w:val="none"/>
        </w:rPr>
      </w:pPr>
      <w:r>
        <w:rPr>
          <w:rFonts w:hint="eastAsia" w:ascii="黑体" w:hAnsi="黑体" w:eastAsia="黑体" w:cs="仿宋_GB2312"/>
          <w:b/>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sz w:val="32"/>
          <w:szCs w:val="32"/>
          <w:highlight w:val="none"/>
        </w:rPr>
        <w:t>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年1月1日起，对</w:t>
      </w:r>
      <w:r>
        <w:rPr>
          <w:rFonts w:hint="eastAsia" w:ascii="仿宋_GB2312" w:hAnsi="仿宋_GB2312" w:eastAsia="仿宋_GB2312" w:cs="仿宋_GB2312"/>
          <w:sz w:val="32"/>
          <w:szCs w:val="32"/>
          <w:highlight w:val="none"/>
          <w:lang w:val="en-US" w:eastAsia="zh-CN"/>
        </w:rPr>
        <w:t>个体工商户转型升级为企业（以下简称“个转企”），且</w:t>
      </w: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val="en-US" w:eastAsia="zh-CN"/>
        </w:rPr>
        <w:t>奖励资金</w:t>
      </w:r>
      <w:r>
        <w:rPr>
          <w:rFonts w:hint="eastAsia" w:ascii="仿宋_GB2312" w:hAnsi="仿宋_GB2312" w:eastAsia="仿宋_GB2312" w:cs="仿宋_GB2312"/>
          <w:sz w:val="32"/>
          <w:szCs w:val="32"/>
          <w:highlight w:val="none"/>
        </w:rPr>
        <w:t>条件</w:t>
      </w:r>
      <w:r>
        <w:rPr>
          <w:rFonts w:hint="eastAsia" w:ascii="仿宋_GB2312" w:hAnsi="仿宋_GB2312" w:eastAsia="仿宋_GB2312" w:cs="仿宋_GB2312"/>
          <w:sz w:val="32"/>
          <w:szCs w:val="32"/>
          <w:highlight w:val="none"/>
          <w:lang w:val="en-US" w:eastAsia="zh-CN"/>
        </w:rPr>
        <w:t>的，</w:t>
      </w:r>
      <w:r>
        <w:rPr>
          <w:rFonts w:hint="eastAsia" w:ascii="仿宋_GB2312" w:eastAsia="仿宋_GB2312"/>
          <w:sz w:val="32"/>
          <w:szCs w:val="32"/>
          <w:highlight w:val="none"/>
        </w:rPr>
        <w:t>每</w:t>
      </w:r>
      <w:r>
        <w:rPr>
          <w:rFonts w:hint="eastAsia" w:ascii="仿宋_GB2312" w:eastAsia="仿宋_GB2312"/>
          <w:sz w:val="32"/>
          <w:szCs w:val="32"/>
          <w:highlight w:val="none"/>
          <w:lang w:val="en-US" w:eastAsia="zh-CN"/>
        </w:rPr>
        <w:t>户给予奖励资金</w:t>
      </w:r>
      <w:r>
        <w:rPr>
          <w:rFonts w:hint="eastAsia" w:ascii="仿宋_GB2312" w:eastAsia="仿宋_GB2312"/>
          <w:sz w:val="32"/>
          <w:szCs w:val="32"/>
          <w:highlight w:val="none"/>
        </w:rPr>
        <w:t>一万元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资金发放采取“</w:t>
      </w:r>
      <w:r>
        <w:rPr>
          <w:rFonts w:hint="eastAsia" w:ascii="仿宋_GB2312" w:hAnsi="仿宋_GB2312" w:eastAsia="仿宋_GB2312" w:cs="仿宋_GB2312"/>
          <w:sz w:val="32"/>
          <w:szCs w:val="32"/>
          <w:highlight w:val="none"/>
          <w:lang w:val="en-US" w:eastAsia="zh-CN"/>
        </w:rPr>
        <w:t>一次申请、三次核发</w:t>
      </w:r>
      <w:r>
        <w:rPr>
          <w:rFonts w:hint="eastAsia" w:ascii="仿宋_GB2312" w:eastAsia="仿宋_GB2312"/>
          <w:sz w:val="32"/>
          <w:szCs w:val="32"/>
          <w:highlight w:val="none"/>
          <w:lang w:val="en-US" w:eastAsia="zh-CN"/>
        </w:rPr>
        <w:t>”的方式</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对提交奖励申请的转型企业，经审核符合奖励条件的，分三次发放奖励，</w:t>
      </w:r>
      <w:r>
        <w:rPr>
          <w:rFonts w:hint="eastAsia" w:ascii="仿宋_GB2312" w:eastAsia="仿宋_GB2312"/>
          <w:sz w:val="32"/>
          <w:szCs w:val="32"/>
          <w:highlight w:val="none"/>
          <w:lang w:val="en-US" w:eastAsia="zh-CN"/>
        </w:rPr>
        <w:t>第一年内</w:t>
      </w:r>
      <w:r>
        <w:rPr>
          <w:rFonts w:hint="eastAsia" w:ascii="仿宋_GB2312" w:hAnsi="仿宋_GB2312" w:eastAsia="仿宋_GB2312" w:cs="仿宋_GB2312"/>
          <w:sz w:val="32"/>
          <w:szCs w:val="32"/>
          <w:highlight w:val="none"/>
          <w:lang w:val="en-US" w:eastAsia="zh-CN"/>
        </w:rPr>
        <w:t>核发</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000元，</w:t>
      </w:r>
      <w:r>
        <w:rPr>
          <w:rFonts w:hint="eastAsia" w:ascii="仿宋_GB2312" w:eastAsia="仿宋_GB2312"/>
          <w:sz w:val="32"/>
          <w:szCs w:val="32"/>
          <w:highlight w:val="none"/>
          <w:lang w:val="en-US" w:eastAsia="zh-CN"/>
        </w:rPr>
        <w:t>第二年内</w:t>
      </w:r>
      <w:r>
        <w:rPr>
          <w:rFonts w:hint="eastAsia" w:ascii="仿宋_GB2312" w:hAnsi="仿宋_GB2312" w:eastAsia="仿宋_GB2312" w:cs="仿宋_GB2312"/>
          <w:sz w:val="32"/>
          <w:szCs w:val="32"/>
          <w:highlight w:val="none"/>
          <w:lang w:val="en-US" w:eastAsia="zh-CN"/>
        </w:rPr>
        <w:t>核发</w:t>
      </w:r>
      <w:r>
        <w:rPr>
          <w:rFonts w:hint="eastAsia" w:ascii="仿宋_GB2312" w:eastAsia="仿宋_GB2312"/>
          <w:sz w:val="32"/>
          <w:szCs w:val="32"/>
          <w:highlight w:val="none"/>
        </w:rPr>
        <w:t>3000元，</w:t>
      </w:r>
      <w:r>
        <w:rPr>
          <w:rFonts w:hint="eastAsia" w:ascii="仿宋_GB2312" w:eastAsia="仿宋_GB2312"/>
          <w:sz w:val="32"/>
          <w:szCs w:val="32"/>
          <w:highlight w:val="none"/>
          <w:lang w:val="en-US" w:eastAsia="zh-CN"/>
        </w:rPr>
        <w:t>第三年内</w:t>
      </w:r>
      <w:r>
        <w:rPr>
          <w:rFonts w:hint="eastAsia" w:ascii="仿宋_GB2312" w:hAnsi="仿宋_GB2312" w:eastAsia="仿宋_GB2312" w:cs="仿宋_GB2312"/>
          <w:sz w:val="32"/>
          <w:szCs w:val="32"/>
          <w:highlight w:val="none"/>
          <w:lang w:val="en-US" w:eastAsia="zh-CN"/>
        </w:rPr>
        <w:t>核发</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000元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2022年—2025年，</w:t>
      </w:r>
      <w:r>
        <w:rPr>
          <w:rFonts w:hint="eastAsia" w:ascii="仿宋_GB2312" w:eastAsia="仿宋_GB2312"/>
          <w:sz w:val="32"/>
          <w:szCs w:val="32"/>
          <w:highlight w:val="none"/>
          <w:lang w:val="en-US" w:eastAsia="zh-CN"/>
        </w:rPr>
        <w:t>龙华</w:t>
      </w:r>
      <w:r>
        <w:rPr>
          <w:rFonts w:hint="eastAsia" w:ascii="仿宋_GB2312" w:eastAsia="仿宋_GB2312"/>
          <w:sz w:val="32"/>
          <w:szCs w:val="32"/>
          <w:highlight w:val="none"/>
          <w:lang w:eastAsia="zh-CN"/>
        </w:rPr>
        <w:t>区共奖励“个转企”转型后企业</w:t>
      </w:r>
      <w:r>
        <w:rPr>
          <w:rFonts w:hint="eastAsia" w:ascii="仿宋_GB2312" w:eastAsia="仿宋_GB2312"/>
          <w:sz w:val="32"/>
          <w:szCs w:val="32"/>
          <w:highlight w:val="none"/>
          <w:lang w:val="en-US" w:eastAsia="zh-CN"/>
        </w:rPr>
        <w:t>980</w:t>
      </w:r>
      <w:r>
        <w:rPr>
          <w:rFonts w:hint="eastAsia" w:ascii="仿宋_GB2312" w:eastAsia="仿宋_GB2312"/>
          <w:sz w:val="32"/>
          <w:szCs w:val="32"/>
          <w:highlight w:val="none"/>
          <w:lang w:eastAsia="zh-CN"/>
        </w:rPr>
        <w:t>家，如果总申报数量超出</w:t>
      </w:r>
      <w:r>
        <w:rPr>
          <w:rFonts w:hint="eastAsia" w:ascii="仿宋_GB2312" w:eastAsia="仿宋_GB2312"/>
          <w:sz w:val="32"/>
          <w:szCs w:val="32"/>
          <w:highlight w:val="none"/>
          <w:lang w:val="en-US" w:eastAsia="zh-CN"/>
        </w:rPr>
        <w:t>980</w:t>
      </w:r>
      <w:r>
        <w:rPr>
          <w:rFonts w:hint="eastAsia" w:ascii="仿宋_GB2312" w:eastAsia="仿宋_GB2312"/>
          <w:sz w:val="32"/>
          <w:szCs w:val="32"/>
          <w:highlight w:val="none"/>
          <w:lang w:eastAsia="zh-CN"/>
        </w:rPr>
        <w:t>家，依次按照申报年度、转型企业成立时间排列先后顺序，确定最终奖励对象，超出的申请不予奖励；如果总申报数量未达到</w:t>
      </w:r>
      <w:r>
        <w:rPr>
          <w:rFonts w:hint="eastAsia" w:ascii="仿宋_GB2312" w:eastAsia="仿宋_GB2312"/>
          <w:sz w:val="32"/>
          <w:szCs w:val="32"/>
          <w:highlight w:val="none"/>
          <w:lang w:val="en-US" w:eastAsia="zh-CN"/>
        </w:rPr>
        <w:t>980</w:t>
      </w:r>
      <w:r>
        <w:rPr>
          <w:rFonts w:hint="eastAsia" w:ascii="仿宋_GB2312" w:eastAsia="仿宋_GB2312"/>
          <w:sz w:val="32"/>
          <w:szCs w:val="32"/>
          <w:highlight w:val="none"/>
          <w:lang w:eastAsia="zh-CN"/>
        </w:rPr>
        <w:t>家，则在2026年2月份再开放一次受理申请。每年奖励企业数量依据每年度市个转企专班公布我区“个转企”任务数量和每年度筛查核实情况确定，以转型后企业的成立时间确定资金奖励的先后顺序。</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ascii="黑体" w:hAnsi="黑体" w:eastAsia="黑体" w:cs="仿宋_GB2312"/>
          <w:b/>
          <w:sz w:val="32"/>
          <w:szCs w:val="32"/>
          <w:highlight w:val="none"/>
        </w:rPr>
      </w:pPr>
      <w:r>
        <w:rPr>
          <w:rFonts w:hint="eastAsia" w:ascii="黑体" w:hAnsi="黑体" w:eastAsia="黑体" w:cs="仿宋_GB2312"/>
          <w:b/>
          <w:sz w:val="32"/>
          <w:szCs w:val="32"/>
          <w:highlight w:val="none"/>
          <w:lang w:val="en-US" w:eastAsia="zh-CN"/>
        </w:rPr>
        <w:t>二</w:t>
      </w:r>
      <w:r>
        <w:rPr>
          <w:rFonts w:hint="eastAsia" w:ascii="黑体" w:hAnsi="黑体" w:eastAsia="黑体" w:cs="仿宋_GB2312"/>
          <w:b/>
          <w:sz w:val="32"/>
          <w:szCs w:val="32"/>
          <w:highlight w:val="none"/>
        </w:rPr>
        <w:t>、申请条件</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（一）申请奖励资金，应符合以下全部条件：</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1.转型前原个体工商户设立时间应早于2023年1月1日，且转型升级时间为2022年1月1日至2025年12月31日期间；</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2.</w:t>
      </w:r>
      <w:r>
        <w:rPr>
          <w:rFonts w:hint="eastAsia" w:ascii="仿宋_GB2312" w:hAnsi="仿宋_GB2312" w:eastAsia="仿宋_GB2312" w:cs="仿宋_GB2312"/>
          <w:sz w:val="32"/>
          <w:szCs w:val="32"/>
          <w:highlight w:val="none"/>
          <w:lang w:val="en-US" w:eastAsia="zh-CN"/>
        </w:rPr>
        <w:t>转型企业应提供财务记账支出（代理记账支出、财务人员聘用等）的相应凭证</w:t>
      </w:r>
      <w:r>
        <w:rPr>
          <w:rFonts w:hint="eastAsia" w:cs="仿宋_GB2312"/>
          <w:sz w:val="32"/>
          <w:szCs w:val="32"/>
          <w:highlight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3.转型前原个体工商户近1年内未办理经营者变更；</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4.同一个个体工商户经营者，在全市范围内有多家转型升级企业的，仅奖励一家转型企业；</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5.转型企业应连续按期申报纳税，无税务异常情况；</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6.转型企业名下有1名或以上人员购买社保；</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7.奖励期间该转型企业在龙华区实际从事经营活动；</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8.转型企业未被列入经营异常名录或严重违法失信名单；</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9.转型企业应</w:t>
      </w:r>
      <w:r>
        <w:rPr>
          <w:rFonts w:hint="eastAsia" w:ascii="仿宋_GB2312" w:hAnsi="仿宋_GB2312" w:eastAsia="仿宋_GB2312" w:cs="仿宋_GB2312"/>
          <w:color w:val="000000"/>
          <w:sz w:val="32"/>
          <w:szCs w:val="32"/>
          <w:highlight w:val="none"/>
          <w:shd w:val="clear" w:color="auto" w:fill="FFFFFF"/>
          <w:lang w:val="en-US" w:eastAsia="zh-CN"/>
        </w:rPr>
        <w:t>按照规定时间</w:t>
      </w:r>
      <w:r>
        <w:rPr>
          <w:rFonts w:hint="eastAsia" w:ascii="仿宋_GB2312" w:hAnsi="Calibri" w:eastAsia="仿宋_GB2312" w:cs="Times New Roman"/>
          <w:bCs/>
          <w:kern w:val="2"/>
          <w:sz w:val="32"/>
          <w:szCs w:val="32"/>
          <w:highlight w:val="none"/>
          <w:lang w:val="en-US" w:eastAsia="zh-CN" w:bidi="ar"/>
        </w:rPr>
        <w:t>提交奖励申请。</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（二）奖励资金申请及发放期间转型企业存在以下情况的，不予发放：</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1、变更原个体工商户经营者的企业投资人（股东）身份的；</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2、转型后企业</w:t>
      </w:r>
      <w:r>
        <w:rPr>
          <w:rFonts w:hint="eastAsia" w:ascii="仿宋_GB2312" w:hAnsi="仿宋_GB2312" w:eastAsia="仿宋_GB2312" w:cs="仿宋_GB2312"/>
          <w:sz w:val="32"/>
          <w:szCs w:val="32"/>
          <w:highlight w:val="none"/>
          <w:lang w:val="en-US" w:eastAsia="zh-CN"/>
        </w:rPr>
        <w:t>提交虚假申请材料的</w:t>
      </w:r>
      <w:r>
        <w:rPr>
          <w:rFonts w:hint="eastAsia" w:ascii="仿宋_GB2312" w:hAnsi="Calibri" w:eastAsia="仿宋_GB2312" w:cs="Times New Roman"/>
          <w:bCs/>
          <w:kern w:val="2"/>
          <w:sz w:val="32"/>
          <w:szCs w:val="32"/>
          <w:highlight w:val="none"/>
          <w:lang w:val="en-US" w:eastAsia="zh-CN"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3、转型后企业通过登记地址无法联系；</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4、转型后企业已注销或被吊销、除名、责令关闭、撤销登记的。</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黑体" w:hAnsi="黑体" w:eastAsia="黑体" w:cs="仿宋_GB2312"/>
          <w:b/>
          <w:sz w:val="32"/>
          <w:szCs w:val="32"/>
          <w:highlight w:val="none"/>
          <w:lang w:val="en-US" w:eastAsia="zh-CN"/>
        </w:rPr>
      </w:pPr>
      <w:r>
        <w:rPr>
          <w:rFonts w:hint="eastAsia" w:ascii="黑体" w:hAnsi="黑体" w:eastAsia="黑体" w:cs="仿宋_GB2312"/>
          <w:b/>
          <w:sz w:val="32"/>
          <w:szCs w:val="32"/>
          <w:highlight w:val="none"/>
          <w:lang w:eastAsia="zh-CN"/>
        </w:rPr>
        <w:t>三</w:t>
      </w:r>
      <w:r>
        <w:rPr>
          <w:rFonts w:hint="eastAsia" w:ascii="黑体" w:hAnsi="黑体" w:eastAsia="黑体" w:cs="仿宋_GB2312"/>
          <w:b/>
          <w:sz w:val="32"/>
          <w:szCs w:val="32"/>
          <w:highlight w:val="none"/>
        </w:rPr>
        <w:t>、</w:t>
      </w:r>
      <w:r>
        <w:rPr>
          <w:rFonts w:hint="eastAsia" w:ascii="黑体" w:hAnsi="黑体" w:eastAsia="黑体" w:cs="仿宋_GB2312"/>
          <w:b/>
          <w:sz w:val="32"/>
          <w:szCs w:val="32"/>
          <w:highlight w:val="none"/>
          <w:lang w:val="en-US" w:eastAsia="zh-CN"/>
        </w:rPr>
        <w:t>申报材料</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1.龙华区“个转企”奖励资金申请表；</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2.企业营业执照；</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3.个体户升级企业证明；</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4.企业纳税证明（纳税人自行登录国税、地税电子税务局打印）及社保缴纳证明；</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5.法定代表人（投资者、执行事务合伙人）身份证复印件或者法定代表人身份证及代理人身份证复印件、法人委托书原件；</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6.企业对公账户开户银行名称、账号；</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7.企业无严重违法记录承诺书；</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住所证明。注册地址为租赁房屋的，提交经备案的房屋租赁凭证，双方签订的房屋租赁合同（含出租方产权证明）或其他证明凭证（如村委、市场开办单位证明等）；为股东或法定代表人的自有房产的，提交房屋产权证明。</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w:t>
      </w:r>
      <w:r>
        <w:rPr>
          <w:rFonts w:hint="eastAsia" w:ascii="仿宋_GB2312" w:hAnsi="仿宋_GB2312" w:eastAsia="仿宋_GB2312" w:cs="仿宋_GB2312"/>
          <w:sz w:val="32"/>
          <w:szCs w:val="32"/>
          <w:highlight w:val="none"/>
          <w:lang w:val="en-US" w:eastAsia="zh-CN"/>
        </w:rPr>
        <w:t>财务记账支出（代理记账支出、财务人员聘用等）的相应凭证</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申请单位应按照上述要求提供真实、完整的申请材料，每一项材料应加盖单位公章，各类证照、证明文件需验原件收复印件。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黑体" w:hAnsi="黑体" w:eastAsia="黑体" w:cs="仿宋_GB2312"/>
          <w:b/>
          <w:sz w:val="32"/>
          <w:szCs w:val="32"/>
          <w:highlight w:val="none"/>
          <w:lang w:val="en-US" w:eastAsia="zh-CN"/>
        </w:rPr>
      </w:pPr>
      <w:r>
        <w:rPr>
          <w:rFonts w:hint="eastAsia" w:ascii="黑体" w:hAnsi="黑体" w:eastAsia="黑体" w:cs="仿宋_GB2312"/>
          <w:b/>
          <w:sz w:val="32"/>
          <w:szCs w:val="32"/>
          <w:highlight w:val="none"/>
          <w:lang w:val="en-US" w:eastAsia="zh-CN"/>
        </w:rPr>
        <w:t>四、奖励资金申报、审核及审批程序：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2022年度</w:t>
      </w:r>
      <w:r>
        <w:rPr>
          <w:rFonts w:hint="eastAsia" w:ascii="仿宋_GB2312" w:hAnsi="仿宋_GB2312" w:eastAsia="仿宋_GB2312" w:cs="仿宋_GB2312"/>
          <w:color w:val="000000"/>
          <w:sz w:val="32"/>
          <w:szCs w:val="32"/>
          <w:highlight w:val="none"/>
          <w:shd w:val="clear" w:color="auto" w:fill="FFFFFF"/>
        </w:rPr>
        <w:t>自1</w:t>
      </w: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shd w:val="clear" w:color="auto" w:fill="FFFFFF"/>
          <w:lang w:val="en-US" w:eastAsia="zh-CN"/>
        </w:rPr>
        <w:t>15</w:t>
      </w:r>
      <w:r>
        <w:rPr>
          <w:rFonts w:hint="eastAsia" w:ascii="仿宋_GB2312" w:hAnsi="仿宋_GB2312" w:eastAsia="仿宋_GB2312" w:cs="仿宋_GB2312"/>
          <w:color w:val="000000"/>
          <w:sz w:val="32"/>
          <w:szCs w:val="32"/>
          <w:highlight w:val="none"/>
          <w:shd w:val="clear" w:color="auto" w:fill="FFFFFF"/>
        </w:rPr>
        <w:t>日</w:t>
      </w:r>
      <w:r>
        <w:rPr>
          <w:rFonts w:hint="eastAsia" w:ascii="仿宋_GB2312" w:hAnsi="仿宋_GB2312" w:eastAsia="仿宋_GB2312" w:cs="仿宋_GB2312"/>
          <w:color w:val="000000"/>
          <w:sz w:val="32"/>
          <w:szCs w:val="32"/>
          <w:highlight w:val="none"/>
          <w:shd w:val="clear" w:color="auto" w:fill="FFFFFF"/>
          <w:lang w:val="en-US" w:eastAsia="zh-CN"/>
        </w:rPr>
        <w:t>启动</w:t>
      </w:r>
      <w:r>
        <w:rPr>
          <w:rFonts w:hint="eastAsia" w:ascii="仿宋_GB2312" w:hAnsi="仿宋_GB2312" w:eastAsia="仿宋_GB2312" w:cs="仿宋_GB2312"/>
          <w:color w:val="000000"/>
          <w:sz w:val="32"/>
          <w:szCs w:val="32"/>
          <w:highlight w:val="none"/>
          <w:shd w:val="clear" w:color="auto" w:fill="FFFFFF"/>
        </w:rPr>
        <w:t>奖励</w:t>
      </w:r>
      <w:r>
        <w:rPr>
          <w:rFonts w:hint="eastAsia" w:ascii="仿宋_GB2312" w:hAnsi="仿宋_GB2312" w:eastAsia="仿宋_GB2312" w:cs="仿宋_GB2312"/>
          <w:color w:val="000000"/>
          <w:sz w:val="32"/>
          <w:szCs w:val="32"/>
          <w:highlight w:val="none"/>
          <w:shd w:val="clear" w:color="auto" w:fill="FFFFFF"/>
          <w:lang w:val="en-US" w:eastAsia="zh-CN"/>
        </w:rPr>
        <w:t>程序</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eastAsia="zh-CN"/>
        </w:rPr>
        <w:t>由</w:t>
      </w:r>
      <w:r>
        <w:rPr>
          <w:rFonts w:hint="eastAsia" w:ascii="仿宋_GB2312" w:hAnsi="仿宋_GB2312" w:eastAsia="仿宋_GB2312" w:cs="仿宋_GB2312"/>
          <w:sz w:val="32"/>
          <w:szCs w:val="32"/>
          <w:highlight w:val="none"/>
          <w:lang w:val="en-US" w:eastAsia="zh-CN"/>
        </w:rPr>
        <w:t>龙华市场监管局先行按照本方案的申请条件对2022年10月30日前转型的企业进行筛查，核实确定符合奖励资金申请条件的企业名单，通知企业提出申请。符合奖励条件的企业应在接到龙华市场监管局的通知后于本年度11月28日至12月12日期间填报《龙华区</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个转企</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奖励资金申请表》并提交申报材料，龙华市场监管局应对企业的申报材料进行核查，将审核结果于12月19日至12月23日在龙华区人民政府门户网站公示。龙华市场监管局应在本年度12月30日起对符合奖励条件且公示无异议的企业统一支付奖励资金，第一批奖励资金（4000元）</w:t>
      </w:r>
      <w:r>
        <w:rPr>
          <w:rFonts w:hint="eastAsia" w:ascii="仿宋_GB2312" w:hAnsi="仿宋_GB2312" w:eastAsia="仿宋_GB2312" w:cs="仿宋_GB2312"/>
          <w:color w:val="000000"/>
          <w:sz w:val="32"/>
          <w:szCs w:val="32"/>
          <w:highlight w:val="none"/>
          <w:shd w:val="clear" w:color="auto" w:fill="FFFFFF"/>
        </w:rPr>
        <w:t>于</w:t>
      </w:r>
      <w:r>
        <w:rPr>
          <w:rFonts w:hint="eastAsia" w:ascii="仿宋_GB2312" w:hAnsi="仿宋_GB2312" w:eastAsia="仿宋_GB2312" w:cs="仿宋_GB2312"/>
          <w:color w:val="000000"/>
          <w:sz w:val="32"/>
          <w:szCs w:val="32"/>
          <w:highlight w:val="none"/>
          <w:shd w:val="clear" w:color="auto" w:fill="FFFFFF"/>
          <w:lang w:val="en-US" w:eastAsia="zh-CN"/>
        </w:rPr>
        <w:t>2022</w:t>
      </w:r>
      <w:r>
        <w:rPr>
          <w:rFonts w:hint="eastAsia" w:ascii="仿宋_GB2312" w:hAnsi="仿宋_GB2312" w:eastAsia="仿宋_GB2312" w:cs="仿宋_GB2312"/>
          <w:color w:val="000000"/>
          <w:sz w:val="32"/>
          <w:szCs w:val="32"/>
          <w:highlight w:val="none"/>
          <w:shd w:val="clear" w:color="auto" w:fill="FFFFFF"/>
        </w:rPr>
        <w:t>年</w:t>
      </w:r>
      <w:r>
        <w:rPr>
          <w:rFonts w:hint="eastAsia" w:ascii="仿宋_GB2312" w:hAnsi="仿宋_GB2312" w:eastAsia="仿宋_GB2312" w:cs="仿宋_GB2312"/>
          <w:color w:val="000000"/>
          <w:sz w:val="32"/>
          <w:szCs w:val="32"/>
          <w:highlight w:val="none"/>
          <w:shd w:val="clear" w:color="auto" w:fill="FFFFFF"/>
          <w:lang w:val="en-US" w:eastAsia="zh-CN"/>
        </w:rPr>
        <w:t>12月31日</w:t>
      </w:r>
      <w:r>
        <w:rPr>
          <w:rFonts w:hint="eastAsia" w:ascii="仿宋_GB2312" w:hAnsi="仿宋_GB2312" w:eastAsia="仿宋_GB2312" w:cs="仿宋_GB2312"/>
          <w:color w:val="000000"/>
          <w:sz w:val="32"/>
          <w:szCs w:val="32"/>
          <w:highlight w:val="none"/>
          <w:shd w:val="clear" w:color="auto" w:fill="FFFFFF"/>
        </w:rPr>
        <w:t>前发放</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第二批、第三批奖励资金分别于2023</w:t>
      </w:r>
      <w:r>
        <w:rPr>
          <w:rFonts w:hint="eastAsia" w:ascii="仿宋_GB2312" w:hAnsi="仿宋_GB2312" w:eastAsia="仿宋_GB2312" w:cs="仿宋_GB2312"/>
          <w:color w:val="000000"/>
          <w:sz w:val="32"/>
          <w:szCs w:val="32"/>
          <w:highlight w:val="none"/>
          <w:shd w:val="clear" w:color="auto" w:fill="FFFFFF"/>
        </w:rPr>
        <w:t>年</w:t>
      </w:r>
      <w:r>
        <w:rPr>
          <w:rFonts w:hint="eastAsia" w:ascii="仿宋_GB2312" w:hAnsi="仿宋_GB2312" w:eastAsia="仿宋_GB2312" w:cs="仿宋_GB2312"/>
          <w:color w:val="000000"/>
          <w:sz w:val="32"/>
          <w:szCs w:val="32"/>
          <w:highlight w:val="none"/>
          <w:shd w:val="clear" w:color="auto" w:fill="FFFFFF"/>
          <w:lang w:val="en-US" w:eastAsia="zh-CN"/>
        </w:rPr>
        <w:t>和2024年的12月31日</w:t>
      </w:r>
      <w:r>
        <w:rPr>
          <w:rFonts w:hint="eastAsia" w:ascii="仿宋_GB2312" w:hAnsi="仿宋_GB2312" w:eastAsia="仿宋_GB2312" w:cs="仿宋_GB2312"/>
          <w:color w:val="000000"/>
          <w:sz w:val="32"/>
          <w:szCs w:val="32"/>
          <w:highlight w:val="none"/>
          <w:shd w:val="clear" w:color="auto" w:fill="FFFFFF"/>
        </w:rPr>
        <w:t>前</w:t>
      </w:r>
      <w:r>
        <w:rPr>
          <w:rFonts w:hint="eastAsia" w:ascii="仿宋_GB2312" w:hAnsi="仿宋_GB2312" w:eastAsia="仿宋_GB2312" w:cs="仿宋_GB2312"/>
          <w:color w:val="000000"/>
          <w:sz w:val="32"/>
          <w:szCs w:val="32"/>
          <w:highlight w:val="none"/>
          <w:shd w:val="clear" w:color="auto" w:fill="FFFFFF"/>
          <w:lang w:val="en-US" w:eastAsia="zh-CN"/>
        </w:rPr>
        <w:t>发放</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shd w:val="clear" w:color="auto" w:fill="FFFFFF"/>
          <w:lang w:eastAsia="zh-CN"/>
        </w:rPr>
        <w:t>（二）</w:t>
      </w:r>
      <w:r>
        <w:rPr>
          <w:rFonts w:hint="eastAsia" w:ascii="仿宋_GB2312" w:hAnsi="仿宋_GB2312" w:eastAsia="仿宋_GB2312" w:cs="仿宋_GB2312"/>
          <w:color w:val="000000"/>
          <w:sz w:val="32"/>
          <w:szCs w:val="32"/>
          <w:highlight w:val="none"/>
          <w:shd w:val="clear" w:color="auto" w:fill="FFFFFF"/>
        </w:rPr>
        <w:t>2023-2025</w:t>
      </w:r>
      <w:r>
        <w:rPr>
          <w:rFonts w:hint="eastAsia" w:ascii="仿宋_GB2312" w:hAnsi="仿宋_GB2312" w:eastAsia="仿宋_GB2312" w:cs="仿宋_GB2312"/>
          <w:color w:val="000000"/>
          <w:sz w:val="32"/>
          <w:szCs w:val="32"/>
          <w:highlight w:val="none"/>
          <w:shd w:val="clear" w:color="auto" w:fill="FFFFFF"/>
          <w:lang w:eastAsia="zh-CN"/>
        </w:rPr>
        <w:t>每</w:t>
      </w:r>
      <w:r>
        <w:rPr>
          <w:rFonts w:hint="eastAsia" w:ascii="仿宋_GB2312" w:hAnsi="仿宋_GB2312" w:eastAsia="仿宋_GB2312" w:cs="仿宋_GB2312"/>
          <w:color w:val="000000"/>
          <w:sz w:val="32"/>
          <w:szCs w:val="32"/>
          <w:highlight w:val="none"/>
          <w:shd w:val="clear" w:color="auto" w:fill="FFFFFF"/>
        </w:rPr>
        <w:t>年度</w:t>
      </w:r>
      <w:r>
        <w:rPr>
          <w:rFonts w:hint="eastAsia" w:ascii="仿宋_GB2312" w:hAnsi="仿宋_GB2312" w:eastAsia="仿宋_GB2312" w:cs="仿宋_GB2312"/>
          <w:sz w:val="32"/>
          <w:szCs w:val="32"/>
          <w:highlight w:val="none"/>
          <w:lang w:val="en-US" w:eastAsia="zh-CN"/>
        </w:rPr>
        <w:t>7月1日至8月</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1日前，龙华市场监管局应按照本方案的申请条件对企业进行筛查，核实确定符合奖励资金申请条件的企业名单，通知企业在每年度9月</w:t>
      </w: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日至9月</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0日期间提出申请。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（三）符合奖励条件的企业应在接到龙华市场监管局的通知后于本年度9月</w:t>
      </w: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日至9月</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0日期间填报《龙华区</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个转企</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奖励资金申请表》并提交申请材料。龙华市场监管局应对企业的申报材料进行核查，将审核</w:t>
      </w:r>
      <w:r>
        <w:rPr>
          <w:rFonts w:hint="eastAsia" w:ascii="仿宋_GB2312" w:hAnsi="仿宋_GB2312" w:eastAsia="仿宋_GB2312" w:cs="仿宋_GB2312"/>
          <w:color w:val="auto"/>
          <w:sz w:val="32"/>
          <w:szCs w:val="32"/>
          <w:highlight w:val="none"/>
          <w:lang w:val="en-US" w:eastAsia="zh-CN"/>
        </w:rPr>
        <w:t>结果在龙华区人民政府门户网站公示，公示期为5个工作日。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lang w:val="en-US" w:eastAsia="zh-CN"/>
        </w:rPr>
        <w:t xml:space="preserve">（四） </w:t>
      </w:r>
      <w:r>
        <w:rPr>
          <w:rFonts w:hint="eastAsia" w:ascii="仿宋_GB2312" w:hAnsi="仿宋_GB2312" w:eastAsia="仿宋_GB2312" w:cs="仿宋_GB2312"/>
          <w:color w:val="auto"/>
          <w:sz w:val="32"/>
          <w:szCs w:val="32"/>
          <w:highlight w:val="none"/>
          <w:shd w:val="clear" w:color="auto" w:fill="FFFFFF"/>
        </w:rPr>
        <w:t>2023-2025年度</w:t>
      </w:r>
      <w:r>
        <w:rPr>
          <w:rFonts w:hint="eastAsia" w:ascii="仿宋_GB2312" w:hAnsi="仿宋_GB2312" w:eastAsia="仿宋_GB2312" w:cs="仿宋_GB2312"/>
          <w:color w:val="auto"/>
          <w:sz w:val="32"/>
          <w:szCs w:val="32"/>
          <w:highlight w:val="none"/>
          <w:lang w:val="en-US" w:eastAsia="zh-CN"/>
        </w:rPr>
        <w:t>龙华市场监管局应在每年度10月</w:t>
      </w:r>
      <w:r>
        <w:rPr>
          <w:rFonts w:hint="default"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val="en-US" w:eastAsia="zh-CN"/>
        </w:rPr>
        <w:t>日前根据对企业的审核情况，填写《龙华区</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个转企</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奖励情况汇总表》并加盖公章，同时将《龙华</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个转企</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奖励情况汇总表》《龙华</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个转企</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奖励资金申请表》收集后统一支付，每年度奖励资金</w:t>
      </w:r>
      <w:r>
        <w:rPr>
          <w:rFonts w:hint="eastAsia" w:ascii="仿宋_GB2312" w:hAnsi="仿宋_GB2312" w:eastAsia="仿宋_GB2312" w:cs="仿宋_GB2312"/>
          <w:color w:val="auto"/>
          <w:sz w:val="32"/>
          <w:szCs w:val="32"/>
          <w:highlight w:val="none"/>
          <w:shd w:val="clear" w:color="auto" w:fill="FFFFFF"/>
        </w:rPr>
        <w:t>于当年</w:t>
      </w:r>
      <w:r>
        <w:rPr>
          <w:rFonts w:hint="eastAsia" w:ascii="仿宋_GB2312" w:hAnsi="仿宋_GB2312" w:eastAsia="仿宋_GB2312" w:cs="仿宋_GB2312"/>
          <w:color w:val="auto"/>
          <w:sz w:val="32"/>
          <w:szCs w:val="32"/>
          <w:highlight w:val="none"/>
          <w:shd w:val="clear" w:color="auto" w:fill="FFFFFF"/>
          <w:lang w:val="en-US" w:eastAsia="zh-CN"/>
        </w:rPr>
        <w:t>12月31日</w:t>
      </w:r>
      <w:r>
        <w:rPr>
          <w:rFonts w:hint="eastAsia" w:ascii="仿宋_GB2312" w:hAnsi="仿宋_GB2312" w:eastAsia="仿宋_GB2312" w:cs="仿宋_GB2312"/>
          <w:color w:val="auto"/>
          <w:sz w:val="32"/>
          <w:szCs w:val="32"/>
          <w:highlight w:val="none"/>
          <w:shd w:val="clear" w:color="auto" w:fill="FFFFFF"/>
        </w:rPr>
        <w:t>前发放</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FangSong_GB2312" w:hAnsi="FangSong_GB2312" w:eastAsia="FangSong_GB2312"/>
          <w:color w:val="auto"/>
          <w:sz w:val="24"/>
          <w:highlight w:val="none"/>
        </w:rPr>
      </w:pP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五</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区财政局负责根据龙华市场监管局的申请将个体户转型升级为企业的奖励资金按年度纳入财政预算。龙华市场监管局</w:t>
      </w:r>
      <w:r>
        <w:rPr>
          <w:rFonts w:hint="default" w:ascii="仿宋_GB2312" w:hAnsi="仿宋_GB2312" w:eastAsia="仿宋_GB2312" w:cs="仿宋_GB2312"/>
          <w:color w:val="auto"/>
          <w:sz w:val="32"/>
          <w:szCs w:val="32"/>
          <w:highlight w:val="none"/>
          <w:lang w:val="en-US" w:eastAsia="zh-CN"/>
        </w:rPr>
        <w:t>应加强与</w:t>
      </w:r>
      <w:r>
        <w:rPr>
          <w:rFonts w:hint="eastAsia" w:ascii="仿宋_GB2312" w:hAnsi="仿宋_GB2312" w:eastAsia="仿宋_GB2312" w:cs="仿宋_GB2312"/>
          <w:color w:val="auto"/>
          <w:sz w:val="32"/>
          <w:szCs w:val="32"/>
          <w:highlight w:val="none"/>
          <w:lang w:val="en-US" w:eastAsia="zh-CN"/>
        </w:rPr>
        <w:t>区</w:t>
      </w:r>
      <w:r>
        <w:rPr>
          <w:rFonts w:hint="default"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val="en-US" w:eastAsia="zh-CN"/>
        </w:rPr>
        <w:t>局工作</w:t>
      </w:r>
      <w:r>
        <w:rPr>
          <w:rFonts w:hint="default" w:ascii="仿宋_GB2312" w:hAnsi="仿宋_GB2312" w:eastAsia="仿宋_GB2312" w:cs="仿宋_GB2312"/>
          <w:color w:val="auto"/>
          <w:sz w:val="32"/>
          <w:szCs w:val="32"/>
          <w:highlight w:val="none"/>
          <w:lang w:val="en-US" w:eastAsia="zh-CN"/>
        </w:rPr>
        <w:t>衔接，按规定及流程及时向企业发放</w:t>
      </w:r>
      <w:r>
        <w:rPr>
          <w:rFonts w:hint="eastAsia" w:ascii="仿宋_GB2312" w:hAnsi="仿宋_GB2312" w:eastAsia="仿宋_GB2312" w:cs="仿宋_GB2312"/>
          <w:color w:val="auto"/>
          <w:sz w:val="32"/>
          <w:szCs w:val="32"/>
          <w:highlight w:val="none"/>
          <w:lang w:val="en-US" w:eastAsia="zh-CN"/>
        </w:rPr>
        <w:t>奖励</w:t>
      </w:r>
      <w:r>
        <w:rPr>
          <w:rFonts w:hint="default" w:ascii="仿宋_GB2312" w:hAnsi="仿宋_GB2312" w:eastAsia="仿宋_GB2312" w:cs="仿宋_GB2312"/>
          <w:color w:val="auto"/>
          <w:sz w:val="32"/>
          <w:szCs w:val="32"/>
          <w:highlight w:val="none"/>
          <w:lang w:val="en-US" w:eastAsia="zh-CN"/>
        </w:rPr>
        <w:t>资金。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黑体" w:hAnsi="黑体" w:eastAsia="黑体" w:cs="仿宋_GB2312"/>
          <w:b/>
          <w:sz w:val="32"/>
          <w:szCs w:val="32"/>
          <w:highlight w:val="none"/>
          <w:lang w:val="en-US" w:eastAsia="zh-CN"/>
        </w:rPr>
      </w:pPr>
      <w:r>
        <w:rPr>
          <w:rFonts w:hint="eastAsia" w:ascii="黑体" w:hAnsi="黑体" w:eastAsia="黑体" w:cs="仿宋_GB2312"/>
          <w:b/>
          <w:sz w:val="32"/>
          <w:szCs w:val="32"/>
          <w:highlight w:val="none"/>
          <w:lang w:val="en-US" w:eastAsia="zh-CN"/>
        </w:rPr>
        <w:t>五、其他事项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违反本</w:t>
      </w:r>
      <w:r>
        <w:rPr>
          <w:rFonts w:hint="eastAsia" w:ascii="仿宋_GB2312" w:hAnsi="仿宋_GB2312" w:eastAsia="仿宋_GB2312" w:cs="仿宋_GB2312"/>
          <w:sz w:val="32"/>
          <w:szCs w:val="32"/>
          <w:highlight w:val="none"/>
          <w:lang w:val="en-US" w:eastAsia="zh-CN"/>
        </w:rPr>
        <w:t>方案</w:t>
      </w:r>
      <w:r>
        <w:rPr>
          <w:rFonts w:hint="default" w:ascii="仿宋_GB2312" w:hAnsi="仿宋_GB2312" w:eastAsia="仿宋_GB2312" w:cs="仿宋_GB2312"/>
          <w:sz w:val="32"/>
          <w:szCs w:val="32"/>
          <w:highlight w:val="none"/>
          <w:lang w:val="en-US" w:eastAsia="zh-CN"/>
        </w:rPr>
        <w:t>规定，以虚报、冒领等手段骗取专项资金的，依法责令其将已获取资金退回财政部门，并依照有关法律法规规定追究相关人员的责任；截留、挤占、挪用专项资金的，依法追究有关单位和有关人员责任；涉嫌犯罪的，依法移交司法机关处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2.龙华区</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个转企</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奖励资金申请条件、申请材料模板、申报渠道通过广东省政务服务网对外公布。申请人可在网站自行下载相关材料。</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3.本政策未委托任何中介机构代理项目，不向企业收取任何费用。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仿宋_GB2312" w:hAnsi="仿宋_GB2312" w:eastAsia="仿宋_GB2312" w:cs="仿宋_GB2312"/>
          <w:color w:val="000000"/>
          <w:spacing w:val="-6"/>
          <w:sz w:val="32"/>
          <w:szCs w:val="32"/>
          <w:highlight w:val="none"/>
          <w:u w:val="none"/>
          <w:shd w:val="clear" w:color="auto" w:fill="auto"/>
          <w:lang w:val="en-US" w:eastAsia="zh-CN"/>
        </w:rPr>
      </w:pPr>
      <w:r>
        <w:rPr>
          <w:rFonts w:hint="eastAsia" w:ascii="仿宋_GB2312" w:hAnsi="仿宋_GB2312" w:eastAsia="仿宋_GB2312" w:cs="仿宋_GB2312"/>
          <w:kern w:val="2"/>
          <w:sz w:val="32"/>
          <w:szCs w:val="28"/>
          <w:highlight w:val="none"/>
          <w:lang w:val="en-US" w:eastAsia="zh-CN" w:bidi="ar-SA"/>
        </w:rPr>
        <w:t>咨询电话：龙华市场</w:t>
      </w:r>
      <w:r>
        <w:rPr>
          <w:rFonts w:hint="eastAsia" w:ascii="仿宋_GB2312" w:hAnsi="仿宋_GB2312" w:eastAsia="仿宋_GB2312" w:cs="仿宋_GB2312"/>
          <w:color w:val="000000"/>
          <w:spacing w:val="-6"/>
          <w:sz w:val="32"/>
          <w:szCs w:val="32"/>
          <w:highlight w:val="none"/>
          <w:u w:val="none"/>
          <w:shd w:val="clear" w:color="auto" w:fill="auto"/>
          <w:lang w:val="en-US" w:eastAsia="zh-CN"/>
        </w:rPr>
        <w:t>监管局　　0755-23332010。</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6" w:firstLineChars="200"/>
        <w:jc w:val="both"/>
        <w:textAlignment w:val="auto"/>
        <w:rPr>
          <w:rFonts w:hint="eastAsia" w:ascii="仿宋_GB2312" w:hAnsi="仿宋_GB2312" w:eastAsia="仿宋_GB2312" w:cs="仿宋_GB2312"/>
          <w:color w:val="000000"/>
          <w:spacing w:val="-6"/>
          <w:sz w:val="32"/>
          <w:szCs w:val="32"/>
          <w:highlight w:val="none"/>
          <w:u w:val="none"/>
          <w:shd w:val="clear" w:color="auto" w:fill="auto"/>
          <w:lang w:val="en-US" w:eastAsia="zh-CN"/>
        </w:rPr>
      </w:pPr>
      <w:r>
        <w:rPr>
          <w:rFonts w:hint="eastAsia" w:ascii="仿宋_GB2312" w:hAnsi="仿宋_GB2312" w:eastAsia="仿宋_GB2312" w:cs="仿宋_GB2312"/>
          <w:color w:val="000000"/>
          <w:spacing w:val="-6"/>
          <w:sz w:val="32"/>
          <w:szCs w:val="32"/>
          <w:highlight w:val="none"/>
          <w:u w:val="none"/>
          <w:shd w:val="clear" w:color="auto" w:fill="auto"/>
          <w:lang w:val="en-US" w:eastAsia="zh-CN"/>
        </w:rPr>
        <w:t>工作时间：上午9：00—12：00，下午2：00—6：00；</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color w:val="000000"/>
          <w:spacing w:val="-6"/>
          <w:sz w:val="32"/>
          <w:szCs w:val="32"/>
          <w:highlight w:val="none"/>
          <w:u w:val="none"/>
          <w:shd w:val="clear" w:color="auto" w:fill="auto"/>
          <w:lang w:val="en-US" w:eastAsia="zh-CN"/>
        </w:rPr>
      </w:pPr>
      <w:r>
        <w:rPr>
          <w:rFonts w:hint="eastAsia" w:ascii="仿宋_GB2312" w:hAnsi="仿宋_GB2312" w:eastAsia="仿宋_GB2312" w:cs="仿宋_GB2312"/>
          <w:color w:val="000000"/>
          <w:spacing w:val="-6"/>
          <w:sz w:val="32"/>
          <w:szCs w:val="32"/>
          <w:highlight w:val="none"/>
          <w:u w:val="none"/>
          <w:shd w:val="clear" w:color="auto" w:fill="auto"/>
          <w:lang w:val="en-US" w:eastAsia="zh-CN"/>
        </w:rPr>
        <w:t>咨询窗口：龙华区行政服务大厅二楼205办公室</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16" w:firstLineChars="200"/>
        <w:jc w:val="both"/>
        <w:textAlignment w:val="auto"/>
        <w:rPr>
          <w:rFonts w:hint="eastAsia" w:ascii="仿宋_GB2312" w:hAnsi="仿宋_GB2312" w:eastAsia="仿宋_GB2312" w:cs="仿宋_GB2312"/>
          <w:color w:val="000000"/>
          <w:spacing w:val="-6"/>
          <w:sz w:val="32"/>
          <w:szCs w:val="32"/>
          <w:highlight w:val="none"/>
          <w:u w:val="none"/>
          <w:shd w:val="clear" w:color="auto" w:fill="auto"/>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1789" w:leftChars="304" w:hanging="1120" w:hangingChars="3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附件:1.龙华区“个转企”奖励资金申请表</w:t>
      </w:r>
    </w:p>
    <w:p>
      <w:pPr>
        <w:keepNext w:val="0"/>
        <w:keepLines w:val="0"/>
        <w:pageBreakBefore w:val="0"/>
        <w:widowControl w:val="0"/>
        <w:kinsoku/>
        <w:wordWrap/>
        <w:overflowPunct/>
        <w:topLinePunct w:val="0"/>
        <w:autoSpaceDE/>
        <w:autoSpaceDN/>
        <w:bidi w:val="0"/>
        <w:adjustRightInd/>
        <w:snapToGrid/>
        <w:spacing w:line="560" w:lineRule="exact"/>
        <w:ind w:left="0" w:firstLine="1468" w:firstLineChars="459"/>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2.龙华区“个转企”奖励情况汇总表</w:t>
      </w:r>
    </w:p>
    <w:p>
      <w:pPr>
        <w:keepNext w:val="0"/>
        <w:keepLines w:val="0"/>
        <w:pageBreakBefore w:val="0"/>
        <w:widowControl w:val="0"/>
        <w:kinsoku/>
        <w:wordWrap/>
        <w:overflowPunct/>
        <w:topLinePunct w:val="0"/>
        <w:autoSpaceDE/>
        <w:autoSpaceDN/>
        <w:bidi w:val="0"/>
        <w:adjustRightInd/>
        <w:snapToGrid/>
        <w:spacing w:line="560" w:lineRule="exact"/>
        <w:ind w:left="0" w:firstLine="1468" w:firstLineChars="459"/>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3.申请龙华区“个转企”奖励资金需提交资料清单</w:t>
      </w:r>
    </w:p>
    <w:p>
      <w:pPr>
        <w:keepNext w:val="0"/>
        <w:keepLines w:val="0"/>
        <w:pageBreakBefore w:val="0"/>
        <w:widowControl w:val="0"/>
        <w:kinsoku/>
        <w:wordWrap/>
        <w:overflowPunct/>
        <w:topLinePunct w:val="0"/>
        <w:autoSpaceDE/>
        <w:autoSpaceDN/>
        <w:bidi w:val="0"/>
        <w:adjustRightInd/>
        <w:snapToGrid/>
        <w:spacing w:line="560" w:lineRule="exact"/>
        <w:ind w:left="0" w:firstLine="1468" w:firstLineChars="459"/>
        <w:jc w:val="both"/>
        <w:textAlignment w:val="auto"/>
        <w:rPr>
          <w:rFonts w:hint="eastAsia"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cs="仿宋_GB2312"/>
          <w:color w:val="auto"/>
          <w:sz w:val="32"/>
          <w:szCs w:val="32"/>
          <w:highlight w:val="none"/>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ind w:left="0" w:firstLine="1468" w:firstLineChars="459"/>
        <w:jc w:val="both"/>
        <w:textAlignment w:val="auto"/>
        <w:sectPr>
          <w:footerReference r:id="rId3" w:type="default"/>
          <w:footerReference r:id="rId4" w:type="even"/>
          <w:pgSz w:w="11920" w:h="16850"/>
          <w:pgMar w:top="2098" w:right="1474" w:bottom="1984" w:left="1587" w:header="0" w:footer="1255" w:gutter="0"/>
        </w:sectPr>
      </w:pPr>
      <w:r>
        <w:rPr>
          <w:rFonts w:hint="eastAsia" w:cs="仿宋_GB2312"/>
          <w:color w:val="auto"/>
          <w:sz w:val="32"/>
          <w:szCs w:val="32"/>
          <w:highlight w:val="none"/>
          <w:lang w:val="en-US" w:eastAsia="zh-CN"/>
        </w:rPr>
        <w:t>5.龙华区“个转企”奖励资金申请材料收取回执</w:t>
      </w:r>
    </w:p>
    <w:p>
      <w:pPr>
        <w:pStyle w:val="3"/>
        <w:keepNext w:val="0"/>
        <w:keepLines w:val="0"/>
        <w:pageBreakBefore w:val="0"/>
        <w:widowControl w:val="0"/>
        <w:tabs>
          <w:tab w:val="left" w:pos="1066"/>
          <w:tab w:val="left" w:pos="2026"/>
        </w:tabs>
        <w:kinsoku/>
        <w:wordWrap/>
        <w:overflowPunct/>
        <w:topLinePunct w:val="0"/>
        <w:autoSpaceDE w:val="0"/>
        <w:autoSpaceDN w:val="0"/>
        <w:bidi w:val="0"/>
        <w:adjustRightInd/>
        <w:snapToGrid/>
        <w:spacing w:before="177" w:line="20" w:lineRule="exact"/>
        <w:textAlignment w:val="auto"/>
        <w:rPr>
          <w:rFonts w:hint="default" w:eastAsia="仿宋_GB2312"/>
          <w:lang w:val="en-US" w:eastAsia="zh-CN"/>
        </w:rPr>
      </w:pPr>
    </w:p>
    <w:sectPr>
      <w:footerReference r:id="rId5" w:type="default"/>
      <w:footerReference r:id="rId6" w:type="even"/>
      <w:type w:val="continuous"/>
      <w:pgSz w:w="11910" w:h="16850"/>
      <w:pgMar w:top="1600" w:right="1260" w:bottom="280" w:left="1480" w:header="720" w:footer="720" w:gutter="0"/>
      <w:cols w:equalWidth="0" w:num="2">
        <w:col w:w="2629" w:space="3131"/>
        <w:col w:w="34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angSong_GB2312">
    <w:altName w:val="仿宋_GB2312"/>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297024" behindDoc="1" locked="0" layoutInCell="1" allowOverlap="1">
              <wp:simplePos x="0" y="0"/>
              <wp:positionH relativeFrom="page">
                <wp:posOffset>5991225</wp:posOffset>
              </wp:positionH>
              <wp:positionV relativeFrom="page">
                <wp:posOffset>9761220</wp:posOffset>
              </wp:positionV>
              <wp:extent cx="648970" cy="2038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before="0" w:line="30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471.75pt;margin-top:768.6pt;height:16.05pt;width:51.1pt;mso-position-horizontal-relative:page;mso-position-vertical-relative:page;z-index:-19456;mso-width-relative:page;mso-height-relative:page;" filled="f" stroked="f" coordsize="21600,21600" o:gfxdata="UEsDBAoAAAAAAIdO4kAAAAAAAAAAAAAAAAAEAAAAZHJzL1BLAwQUAAAACACHTuJACwngS9wAAAAO&#10;AQAADwAAAGRycy9kb3ducmV2LnhtbE2Py07DMBBF90j8gzVI7KjdpklJiFMhBCskRBoWLJ1kmliN&#10;xyF2H/w9zqosZ+7RnTP59mIGdsLJaUsSlgsBDKmxraZOwlf19vAIzHlFrRosoYRfdLAtbm9ylbX2&#10;TCWedr5joYRcpiT03o8Z567p0Si3sCNSyPZ2MsqHcep4O6lzKDcDXwmRcKM0hQu9GvGlx+awOxoJ&#10;z99Uvuqfj/qz3Je6qlJB78lByvu7pXgC5vHirzDM+kEdiuBU2yO1jg0S0nUUBzQEcbRZAZsRsY43&#10;wOp5l6QR8CLn/98o/gBQSwMEFAAAAAgAh07iQL/4IYaeAQAAIwMAAA4AAABkcnMvZTJvRG9jLnht&#10;bK1SS27bMBDdF8gdCO5rKs6njmA5QBEkCFAkAdIcgKZIiwB/GDKWfIH2Bl1lk33O5XN0SFtOP7ui&#10;m9FwZvT43hvOLwdryFpC1N419HhSUSKd8K12q4Y+fb3+OKMkJu5abryTDd3ISC8XRx/mfajl1Hfe&#10;tBIIgrhY96GhXUqhZiyKTloeJz5Ih03lwfKER1ixFniP6NawaVWds95DG8ALGSNWr3ZNuij4SkmR&#10;7pWKMhHTUOSWSoQSlzmyxZzXK+Ch02JPg/8DC8u1w0sPUFc8cfIM+i8oqwX46FWaCG+ZV0oLWTSg&#10;muPqDzWPHQ+yaEFzYjjYFP8frLhbPwDRbUPPKHHc4oq2P75vX962r9/INNvTh1jj1GPAuTR89gOu&#10;eaxHLGbVgwKbv6iHYB+N3hzMlUMiAovnp7OLT9gR2JpWJ7OTs4zC3n8OENON9JbkpKGAuyuW8vWX&#10;mHaj40i+y/lrbUzZn3G/FRAzV1hmvmOYszQsh72cpW83qMbcOnQyv4oxgTFZjslzAL3qkE7RXCBx&#10;E4X3/tXkVf96Lhe/v+3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sJ4EvcAAAADgEAAA8AAAAA&#10;AAAAAQAgAAAAIgAAAGRycy9kb3ducmV2LnhtbFBLAQIUABQAAAAIAIdO4kC/+CGGngEAACMDAAAO&#10;AAAAAAAAAAEAIAAAACsBAABkcnMvZTJvRG9jLnhtbFBLBQYAAAAABgAGAFkBAAA7BQAAAAA=&#10;">
              <v:fill on="f" focussize="0,0"/>
              <v:stroke on="f"/>
              <v:imagedata o:title=""/>
              <o:lock v:ext="edit" aspectratio="f"/>
              <v:textbox inset="0mm,0mm,0mm,0mm">
                <w:txbxContent>
                  <w:p>
                    <w:pPr>
                      <w:spacing w:before="0" w:line="30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297024" behindDoc="1" locked="0" layoutInCell="1" allowOverlap="1">
              <wp:simplePos x="0" y="0"/>
              <wp:positionH relativeFrom="page">
                <wp:posOffset>994410</wp:posOffset>
              </wp:positionH>
              <wp:positionV relativeFrom="page">
                <wp:posOffset>9761220</wp:posOffset>
              </wp:positionV>
              <wp:extent cx="648970" cy="203835"/>
              <wp:effectExtent l="0" t="0" r="0" b="0"/>
              <wp:wrapNone/>
              <wp:docPr id="6" name="文本框 1"/>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pPr>
                            <w:spacing w:before="0" w:line="30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78.3pt;margin-top:768.6pt;height:16.05pt;width:51.1pt;mso-position-horizontal-relative:page;mso-position-vertical-relative:page;z-index:-19456;mso-width-relative:page;mso-height-relative:page;" filled="f" stroked="f" coordsize="21600,21600" o:gfxdata="UEsDBAoAAAAAAIdO4kAAAAAAAAAAAAAAAAAEAAAAZHJzL1BLAwQUAAAACACHTuJA1F3Lb9kAAAAN&#10;AQAADwAAAGRycy9kb3ducmV2LnhtbE2PzU7DMBCE70i8g7VI3KjTVA1tiFMhBCckRBoOHJ14m1iN&#10;1yF2f3h7tlzgtqP5NDtTbM5uEEecgvWkYD5LQCC13ljqFHzUL3crECFqMnrwhAq+McCmvL4qdG78&#10;iSo8bmMnOIRCrhX0MY65lKHt0ekw8yMSezs/OR1ZTp00kz5xuBtkmiSZdNoSf+j1iE89tvvtwSl4&#10;/KTq2X69Ne/VrrJ1vU7oNdsrdXszTx5ARDzHPxgu9bk6lNyp8QcyQQysl1nG6OVY3KcgGEmXK17T&#10;/HrrBciykP9XlD9QSwMEFAAAAAgAh07iQOHsKrifAQAAIwMAAA4AAABkcnMvZTJvRG9jLnhtbK1S&#10;S27bMBDdB8gdCO5jyk7ruILlAEGQokDRFEh7AJoiLQIkhyAZS75Ae4Ouusm+5/I5MqQtp59dkc1o&#10;ODN6fO8Nl9eDNWQrQ9TgGjqdVJRIJ6DVbtPQr1/uLhaUxMRdyw042dCdjPR6dX627H0tZ9CBaWUg&#10;COJi3fuGdin5mrEoOml5nICXDpsKguUJj2HD2sB7RLeGzapqznoIrQ8gZIxYvT006argKyVFulcq&#10;ykRMQ5FbKjGUuM6RrZa83gTuOy2ONPh/sLBcO7z0BHXLEyePQf8DZbUIEEGliQDLQCktZNGAaqbV&#10;X2oeOu5l0YLmRH+yKb4erPi0/RyIbhs6p8Rxiyva//i+//lr//SNTLM9vY81Tj14nEvDDQy45rEe&#10;sZhVDyrY/EU9BPto9O5krhwSEVicv1m8u8KOwNasulxcvs0o7OVnH2J6L8GSnDQ04O6KpXz7MabD&#10;6DiS73Jwp40p+zPujwJi5grLzA8Mc5aG9XCUs4Z2h2rMB4dO5lcxJmFM1mPy6IPedEinaC6QuInC&#10;+/hq8qp/P5eLX9726h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UXctv2QAAAA0BAAAPAAAAAAAA&#10;AAEAIAAAACIAAABkcnMvZG93bnJldi54bWxQSwECFAAUAAAACACHTuJA4ewquJ8BAAAjAwAADgAA&#10;AAAAAAABACAAAAAoAQAAZHJzL2Uyb0RvYy54bWxQSwUGAAAAAAYABgBZAQAAOQUAAAAA&#10;">
              <v:fill on="f" focussize="0,0"/>
              <v:stroke on="f"/>
              <v:imagedata o:title=""/>
              <o:lock v:ext="edit" aspectratio="f"/>
              <v:textbox inset="0mm,0mm,0mm,0mm">
                <w:txbxContent>
                  <w:p>
                    <w:pPr>
                      <w:spacing w:before="0" w:line="30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297024" behindDoc="1" locked="0" layoutInCell="1" allowOverlap="1">
              <wp:simplePos x="0" y="0"/>
              <wp:positionH relativeFrom="page">
                <wp:posOffset>5899785</wp:posOffset>
              </wp:positionH>
              <wp:positionV relativeFrom="page">
                <wp:posOffset>9849485</wp:posOffset>
              </wp:positionV>
              <wp:extent cx="737235" cy="205740"/>
              <wp:effectExtent l="0" t="0" r="0" b="0"/>
              <wp:wrapNone/>
              <wp:docPr id="9" name="文本框 6"/>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pPr>
                            <w:spacing w:before="0" w:line="303" w:lineRule="exact"/>
                            <w:ind w:left="20" w:right="0" w:firstLine="0"/>
                            <w:jc w:val="left"/>
                            <w:rPr>
                              <w:rFonts w:ascii="宋体" w:hAnsi="宋体"/>
                              <w:sz w:val="28"/>
                            </w:rPr>
                          </w:pPr>
                          <w:r>
                            <w:rPr>
                              <w:rFonts w:ascii="宋体" w:hAnsi="宋体"/>
                              <w:sz w:val="28"/>
                            </w:rPr>
                            <w:t>— 11 —</w:t>
                          </w:r>
                        </w:p>
                      </w:txbxContent>
                    </wps:txbx>
                    <wps:bodyPr lIns="0" tIns="0" rIns="0" bIns="0" upright="1"/>
                  </wps:wsp>
                </a:graphicData>
              </a:graphic>
            </wp:anchor>
          </w:drawing>
        </mc:Choice>
        <mc:Fallback>
          <w:pict>
            <v:shape id="文本框 6" o:spid="_x0000_s1026" o:spt="202" type="#_x0000_t202" style="position:absolute;left:0pt;margin-left:464.55pt;margin-top:775.55pt;height:16.2pt;width:58.05pt;mso-position-horizontal-relative:page;mso-position-vertical-relative:page;z-index:-19456;mso-width-relative:page;mso-height-relative:page;" filled="f" stroked="f" coordsize="21600,21600" o:gfxdata="UEsDBAoAAAAAAIdO4kAAAAAAAAAAAAAAAAAEAAAAZHJzL1BLAwQUAAAACACHTuJABnvUVdsAAAAO&#10;AQAADwAAAGRycy9kb3ducmV2LnhtbE2PT0+EMBDF7yZ+h2ZMvLktKJsFKRtj9GRiZPHgsdAuNEun&#10;SLt//PYOJ73NzHt583vl9uJGdjJzsB4lJCsBzGDntcVewmfzercBFqJCrUaPRsKPCbCtrq9KVWh/&#10;xtqcdrFnFIKhUBKGGKeC89ANxqmw8pNB0vZ+dirSOvdcz+pM4W7kqRBr7pRF+jCoyTwPpjvsjk7C&#10;0xfWL/b7vf2o97Vtmlzg2/og5e1NIh6BRXOJf2ZY8AkdKmJq/RF1YKOEPM0TspKQZQlNi0U8ZCmw&#10;drlt7jPgVcn/16h+AVBLAwQUAAAACACHTuJAOiir96ABAAAjAwAADgAAAGRycy9lMm9Eb2MueG1s&#10;rVLNThsxEL5X4h0s34mXUEhZZYNUISokVCrRPoDjtbOW/KexyW5eAN6gJy7cea48R8cmG2i5oV5m&#10;xzOzn7/vG8/PB2vIWkLU3jX0aFJRIp3wrXarhv76eXn4hZKYuGu58U42dCMjPV8cfJr3oZZT33nT&#10;SiAI4mLdh4Z2KYWasSg6aXmc+CAdNpUHyxMeYcVa4D2iW8OmVXXKeg9tAC9kjFi9eGnSRcFXSop0&#10;o1SUiZiGIrdUIpS4zJEt5rxeAQ+dFjsa/AMsLNcOL91DXfDEyR3od1BWC/DRqzQR3jKvlBayaEA1&#10;R9U/am47HmTRgubEsLcp/j9Y8X39A4huG3pGieMWV7T9/bB9fN4+3ZPTbE8fYo1TtwHn0vDVD7jm&#10;sR6xmFUPCmz+oh6CfTR6szdXDokILM6OZ9PjE0oEtqbVyexzMZ+9/hwgpm/SW5KThgLurljK19cx&#10;IREcHUfyXc5famPK/oz7q4CDucIy8xeGOUvDctjJWfp2g2rMlUMn86sYExiT5ZjcBdCrDukUzQUS&#10;N1HI7F5NXvXbc7n49W0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Ge9RV2wAAAA4BAAAPAAAA&#10;AAAAAAEAIAAAACIAAABkcnMvZG93bnJldi54bWxQSwECFAAUAAAACACHTuJAOiir96ABAAAjAwAA&#10;DgAAAAAAAAABACAAAAAqAQAAZHJzL2Uyb0RvYy54bWxQSwUGAAAAAAYABgBZAQAAPAUAAAAA&#10;">
              <v:fill on="f" focussize="0,0"/>
              <v:stroke on="f"/>
              <v:imagedata o:title=""/>
              <o:lock v:ext="edit" aspectratio="f"/>
              <v:textbox inset="0mm,0mm,0mm,0mm">
                <w:txbxContent>
                  <w:p>
                    <w:pPr>
                      <w:spacing w:before="0" w:line="303" w:lineRule="exact"/>
                      <w:ind w:left="20" w:right="0" w:firstLine="0"/>
                      <w:jc w:val="left"/>
                      <w:rPr>
                        <w:rFonts w:ascii="宋体" w:hAnsi="宋体"/>
                        <w:sz w:val="28"/>
                      </w:rPr>
                    </w:pPr>
                    <w:r>
                      <w:rPr>
                        <w:rFonts w:ascii="宋体" w:hAnsi="宋体"/>
                        <w:sz w:val="28"/>
                      </w:rPr>
                      <w:t>— 11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297024" behindDoc="1" locked="0" layoutInCell="1" allowOverlap="1">
              <wp:simplePos x="0" y="0"/>
              <wp:positionH relativeFrom="page">
                <wp:posOffset>995680</wp:posOffset>
              </wp:positionH>
              <wp:positionV relativeFrom="page">
                <wp:posOffset>9849485</wp:posOffset>
              </wp:positionV>
              <wp:extent cx="737235" cy="20574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pPr>
                            <w:spacing w:before="0" w:line="303" w:lineRule="exact"/>
                            <w:ind w:left="20" w:right="0" w:firstLine="0"/>
                            <w:jc w:val="left"/>
                            <w:rPr>
                              <w:rFonts w:ascii="宋体" w:hAnsi="宋体"/>
                              <w:sz w:val="28"/>
                            </w:rPr>
                          </w:pPr>
                          <w:r>
                            <w:rPr>
                              <w:rFonts w:ascii="宋体" w:hAnsi="宋体"/>
                              <w:sz w:val="28"/>
                            </w:rPr>
                            <w:t>— 10 —</w:t>
                          </w:r>
                        </w:p>
                      </w:txbxContent>
                    </wps:txbx>
                    <wps:bodyPr lIns="0" tIns="0" rIns="0" bIns="0" upright="1"/>
                  </wps:wsp>
                </a:graphicData>
              </a:graphic>
            </wp:anchor>
          </w:drawing>
        </mc:Choice>
        <mc:Fallback>
          <w:pict>
            <v:shape id="文本框 5" o:spid="_x0000_s1026" o:spt="202" type="#_x0000_t202" style="position:absolute;left:0pt;margin-left:78.4pt;margin-top:775.55pt;height:16.2pt;width:58.05pt;mso-position-horizontal-relative:page;mso-position-vertical-relative:page;z-index:-19456;mso-width-relative:page;mso-height-relative:page;" filled="f" stroked="f" coordsize="21600,21600" o:gfxdata="UEsDBAoAAAAAAIdO4kAAAAAAAAAAAAAAAAAEAAAAZHJzL1BLAwQUAAAACACHTuJAd34+l9oAAAAN&#10;AQAADwAAAGRycy9kb3ducmV2LnhtbE2PT0+EMBDF7yZ+h2ZMvLktGHAXKRtj9GRiZPHgsdAuNEun&#10;SLt//PYOJ73Nm3l583vl9uJGdjJzsB4lJCsBzGDntcVewmfzercGFqJCrUaPRsKPCbCtrq9KVWh/&#10;xtqcdrFnFIKhUBKGGKeC89ANxqmw8pNBuu397FQkOfdcz+pM4W7kqRA5d8oifRjUZJ4H0x12Ryfh&#10;6QvrF/v93n7U+9o2zUbgW36Q8vYmEY/AornEPzMs+IQOFTG1/og6sJF0lhN6XIYsSYCRJX1IN8Da&#10;ZbW+z4BXJf/fovoFUEsDBBQAAAAIAIdO4kBsg+BQnwEAACQDAAAOAAAAZHJzL2Uyb0RvYy54bWyt&#10;Us1OGzEQviP1HSzfiZfQNNUqGySEqCpVgET7AI7Xzlryn8Ymu3mB9g04cemd58pzMDbZ0MINcZkd&#10;z8x+/r5vvDgbrCEbCVF719CTSUWJdMK32q0b+uvn5fFXSmLiruXGO9nQrYz0bPnpaNGHWk59500r&#10;gSCIi3UfGtqlFGrGouik5XHig3TYVB4sT3iENWuB94huDZtW1RfWe2gDeCFjxOrFc5MuC75SUqRr&#10;paJMxDQUuaUSocRVjmy54PUaeOi02NPg72BhuXZ46QHqgidO7kC/gbJagI9epYnwlnmltJBFA6o5&#10;qV6pue14kEULmhPDwab4cbDianMDRLe4O7THcYs72t3/2T087v7+JrPsTx9ijWO3AQfTcO4HnB3r&#10;EYtZ9qDA5i8KIthHqO3BXTkkIrA4P51PT2eUCGxNq9n8c3GfvfwcIKZv0luSk4YCLq94yjc/YkIi&#10;ODqO5Lucv9TGlAUa918BB3OFZebPDHOWhtWwl7Py7RbVmO8OrczPYkxgTFZjchdArzukUzQXSFxF&#10;IbN/NnnX/57LxS+Pe/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34+l9oAAAANAQAADwAAAAAA&#10;AAABACAAAAAiAAAAZHJzL2Rvd25yZXYueG1sUEsBAhQAFAAAAAgAh07iQGyD4FCfAQAAJAMAAA4A&#10;AAAAAAAAAQAgAAAAKQEAAGRycy9lMm9Eb2MueG1sUEsFBgAAAAAGAAYAWQEAADoFAAAAAA==&#10;">
              <v:fill on="f" focussize="0,0"/>
              <v:stroke on="f"/>
              <v:imagedata o:title=""/>
              <o:lock v:ext="edit" aspectratio="f"/>
              <v:textbox inset="0mm,0mm,0mm,0mm">
                <w:txbxContent>
                  <w:p>
                    <w:pPr>
                      <w:spacing w:before="0" w:line="303" w:lineRule="exact"/>
                      <w:ind w:left="20" w:right="0" w:firstLine="0"/>
                      <w:jc w:val="left"/>
                      <w:rPr>
                        <w:rFonts w:ascii="宋体" w:hAnsi="宋体"/>
                        <w:sz w:val="28"/>
                      </w:rPr>
                    </w:pPr>
                    <w:r>
                      <w:rPr>
                        <w:rFonts w:ascii="宋体" w:hAnsi="宋体"/>
                        <w:sz w:val="28"/>
                      </w:rP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E0F2D"/>
    <w:rsid w:val="18B1361B"/>
    <w:rsid w:val="248918BA"/>
    <w:rsid w:val="50280AD8"/>
    <w:rsid w:val="5E7575A1"/>
    <w:rsid w:val="61932819"/>
    <w:rsid w:val="7E6159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108"/>
      <w:outlineLvl w:val="1"/>
    </w:pPr>
    <w:rPr>
      <w:rFonts w:ascii="方正小标宋简体" w:hAnsi="方正小标宋简体" w:eastAsia="方正小标宋简体" w:cs="方正小标宋简体"/>
      <w:sz w:val="44"/>
      <w:szCs w:val="44"/>
    </w:rPr>
  </w:style>
  <w:style w:type="character" w:default="1" w:styleId="6">
    <w:name w:val="Default Paragraph Font"/>
    <w:semiHidden/>
    <w:unhideWhenUsed/>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styleId="4">
    <w:name w:val="Plain Text"/>
    <w:basedOn w:val="1"/>
    <w:qFormat/>
    <w:uiPriority w:val="0"/>
    <w:rPr>
      <w:rFonts w:ascii="宋体" w:hAnsi="Courier New" w:cs="Courier New"/>
      <w:szCs w:val="21"/>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rPr>
      <w:rFonts w:ascii="黑体" w:hAnsi="黑体" w:eastAsia="黑体" w:cs="黑体"/>
    </w:rPr>
  </w:style>
  <w:style w:type="paragraph" w:customStyle="1" w:styleId="10">
    <w:name w:val="_Style 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2022-12-21T11:05:00Z</dcterms:created>
  <dc:creator>qxw</dc:creator>
  <cp:lastModifiedBy>吴冰</cp:lastModifiedBy>
  <dcterms:modified xsi:type="dcterms:W3CDTF">2023-10-10T02:52:57Z</dcterms:modified>
  <dc:title>深圳市龙华区人民政府办公室关于印发龙华区个体工商户转型升级为企业奖励资金实施方案的通知（代拟稿）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WPS 文字</vt:lpwstr>
  </property>
  <property fmtid="{D5CDD505-2E9C-101B-9397-08002B2CF9AE}" pid="4" name="LastSaved">
    <vt:filetime>2022-12-21T00:00:00Z</vt:filetime>
  </property>
  <property fmtid="{D5CDD505-2E9C-101B-9397-08002B2CF9AE}" pid="5" name="KSOProductBuildVer">
    <vt:lpwstr>2052-11.8.2.8696</vt:lpwstr>
  </property>
</Properties>
</file>