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rPr>
      </w:pPr>
      <w:r>
        <w:rPr>
          <w:rFonts w:hint="eastAsia" w:ascii="方正小标宋_GBK" w:hAnsi="方正小标宋_GBK" w:eastAsia="方正小标宋_GBK" w:cs="方正小标宋_GBK"/>
          <w:sz w:val="32"/>
          <w:szCs w:val="32"/>
        </w:rPr>
        <w:t>深圳市龙华区司法局</w:t>
      </w:r>
      <w:r>
        <w:rPr>
          <w:rFonts w:hint="eastAsia" w:ascii="方正小标宋_GBK" w:hAnsi="方正小标宋_GBK" w:eastAsia="方正小标宋_GBK" w:cs="方正小标宋_GBK"/>
          <w:sz w:val="32"/>
          <w:szCs w:val="32"/>
          <w:lang w:val="en-US" w:eastAsia="zh-CN"/>
        </w:rPr>
        <w:t>2020年</w:t>
      </w:r>
      <w:bookmarkStart w:id="0" w:name="_GoBack"/>
      <w:bookmarkEnd w:id="0"/>
      <w:r>
        <w:rPr>
          <w:rFonts w:hint="eastAsia" w:ascii="方正小标宋_GBK" w:hAnsi="方正小标宋_GBK" w:eastAsia="方正小标宋_GBK" w:cs="方正小标宋_GBK"/>
          <w:sz w:val="32"/>
          <w:szCs w:val="32"/>
        </w:rPr>
        <w:t>随机抽查事项清单</w:t>
      </w:r>
    </w:p>
    <w:tbl>
      <w:tblPr>
        <w:tblStyle w:val="4"/>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68"/>
        <w:gridCol w:w="764"/>
        <w:gridCol w:w="1050"/>
        <w:gridCol w:w="3950"/>
        <w:gridCol w:w="825"/>
        <w:gridCol w:w="960"/>
        <w:gridCol w:w="810"/>
        <w:gridCol w:w="705"/>
        <w:gridCol w:w="298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序号</w:t>
            </w:r>
          </w:p>
        </w:tc>
        <w:tc>
          <w:tcPr>
            <w:tcW w:w="6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单位名称</w:t>
            </w:r>
          </w:p>
        </w:tc>
        <w:tc>
          <w:tcPr>
            <w:tcW w:w="754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随机抽查事项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检查主体</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检查方式</w:t>
            </w:r>
          </w:p>
        </w:tc>
        <w:tc>
          <w:tcPr>
            <w:tcW w:w="298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检查依据</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检查比例及频次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抽查类别</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抽查项目</w:t>
            </w: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具体内容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具体内容分类</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是否为部门联合事项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vertAlign w:val="baseline"/>
              </w:rPr>
            </w:pPr>
            <w:r>
              <w:rPr>
                <w:rFonts w:hint="eastAsia" w:ascii="黑体" w:hAnsi="黑体" w:eastAsia="黑体" w:cs="黑体"/>
                <w:vertAlign w:val="baseline"/>
              </w:rPr>
              <w:t>市/区/街道</w:t>
            </w: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w:t>
            </w:r>
          </w:p>
        </w:tc>
        <w:tc>
          <w:tcPr>
            <w:tcW w:w="6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龙华区司法局</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律师、律师事务所执业检查</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对律师的执业、变更、注销的监管和对律师事务所（分所）的设立、变更、注销的监管</w:t>
            </w: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1.律师事务所在开展业务活动过程中遵守法律、法规、规章的情况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B</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是</w:t>
            </w: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区</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实地检查</w:t>
            </w:r>
          </w:p>
        </w:tc>
        <w:tc>
          <w:tcPr>
            <w:tcW w:w="298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《中华人民共和国律师法》第六章 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rPr>
              <w:t>抽查比例:龙华区司法局抽查比例为5%</w:t>
            </w:r>
            <w:r>
              <w:rPr>
                <w:rFonts w:hint="eastAsia" w:asciiTheme="minorEastAsia" w:hAnsiTheme="minorEastAsia" w:eastAsiaTheme="minorEastAsia" w:cstheme="minorEastAsia"/>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频次：每年至少3次。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2.律师事务所执业和内部管理制度的建立和实施情况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A</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否</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3.律师事务所保持法定设立条件以及变更报批或者备案的执行情况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A</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否</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4.律师事务所进行清算、申请注销的情况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A</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否</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5.律师事务所开展律师执业年度考核和上报年度执业总结的情况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A</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否</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6.律师事务所履行行政处罚和实行整改的情况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B</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是</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7.律师在执业活动中遵守法律、法规、规章 和职业道德、执业纪律的情况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B</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是</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p>
        </w:tc>
        <w:tc>
          <w:tcPr>
            <w:tcW w:w="39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rPr>
              <w:t>8.律师履行行政处罚和实行整改的情况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B</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是</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2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7" w:type="dxa"/>
            <w:gridSpan w:val="11"/>
            <w:vAlign w:val="center"/>
          </w:tcPr>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填表说明：</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1、该事项清单是各部门各领域的总体抽查事项清单，均由市级指导部门从顶层上统一梳理，需涵盖市、区、所等多级事项，并在检查主体一列注明市、区、所等具体检查单位；</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2、关于随机抽查事项的层级，模板给出了三级标准，部分单位可能只有两级，按照实际填报即可，需注意“具体内容”即最小单位，需逐项标注事项分类A或B；</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3、抽查类别指的是业务类别，即抽查事项的最大单位；</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4、抽查项目需一一对应权责清单行政检查事项，是抽查事项的二级单位；</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5、具体内容指的是抽查项目的具体细化内容，即检查记录表上的具体检查内容，是抽查事项的最小单位；</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6、具体内容分类是指将最小单位抽查事项进行逐一区分，一般检查事项写"A"，重点检查事项写B。具体内容分类可按最小单位分类，也可以按最大单位的"抽查类别”统一标注为一类</w:t>
            </w:r>
            <w:r>
              <w:rPr>
                <w:rFonts w:hint="eastAsia"/>
                <w:vertAlign w:val="baseline"/>
                <w:lang w:eastAsia="zh-CN"/>
              </w:rPr>
              <w:t>；</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7、检查方式可以填写实地检查、书面检查、网络监测等。联合检查事项来源于一般检查事项和重点检查事项</w:t>
            </w:r>
            <w:r>
              <w:rPr>
                <w:rFonts w:hint="eastAsia"/>
                <w:vertAlign w:val="baseline"/>
                <w:lang w:eastAsia="zh-CN"/>
              </w:rPr>
              <w:t>；</w:t>
            </w:r>
          </w:p>
          <w:p>
            <w:pPr>
              <w:keepNext w:val="0"/>
              <w:keepLines w:val="0"/>
              <w:pageBreakBefore w:val="0"/>
              <w:widowControl w:val="0"/>
              <w:tabs>
                <w:tab w:val="left" w:pos="499"/>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eastAsiaTheme="minorEastAsia"/>
                <w:vertAlign w:val="baseline"/>
                <w:lang w:eastAsia="zh-CN"/>
              </w:rPr>
            </w:pPr>
            <w:r>
              <w:rPr>
                <w:rFonts w:hint="eastAsia" w:eastAsiaTheme="minorEastAsia"/>
                <w:vertAlign w:val="baseline"/>
                <w:lang w:eastAsia="zh-CN"/>
              </w:rPr>
              <w:t>8、特别说明：各单位在门户网站公示的清单，除“是否为部门联合事项”外，其他列内容均须完备。</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90903"/>
    <w:rsid w:val="1A8C6FA6"/>
    <w:rsid w:val="22691343"/>
    <w:rsid w:val="55790E8E"/>
    <w:rsid w:val="557B7450"/>
    <w:rsid w:val="7751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czq</dc:creator>
  <cp:lastModifiedBy>陈志强</cp:lastModifiedBy>
  <dcterms:modified xsi:type="dcterms:W3CDTF">2020-03-19T09:19:21Z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