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促消费活动申报表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企业全称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联系人及手机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5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活动名称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预计举办时间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举办地点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内容形式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预算投入明细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  <w:t>（多场活动可另附材料）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需政府支持事项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  <w:vertAlign w:val="baseline"/>
                <w:lang w:val="en-US" w:eastAsia="zh-CN"/>
              </w:rPr>
              <w:t>其他政策建议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913E"/>
    <w:multiLevelType w:val="singleLevel"/>
    <w:tmpl w:val="617191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59E4"/>
    <w:rsid w:val="10C759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2020-04-17T06:46:00Z</dcterms:created>
  <dc:creator>陈淑军</dc:creator>
  <cp:lastModifiedBy>陈淑军</cp:lastModifiedBy>
  <dcterms:modified xsi:type="dcterms:W3CDTF">2020-04-17T06:46:36Z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