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before="0" w:line="560" w:lineRule="exact"/>
        <w:ind w:firstLine="0" w:firstLineChars="0"/>
        <w:jc w:val="both"/>
        <w:rPr>
          <w:rFonts w:hint="eastAsia" w:ascii="黑体" w:hAnsi="黑体" w:eastAsia="黑体" w:cs="黑体"/>
          <w:b w:val="0"/>
          <w:sz w:val="32"/>
          <w:szCs w:val="32"/>
        </w:rPr>
      </w:pPr>
      <w:bookmarkStart w:id="0" w:name="_Toc11830487"/>
      <w:bookmarkStart w:id="1" w:name="_Toc26371157"/>
      <w:r>
        <w:rPr>
          <w:rFonts w:hint="eastAsia" w:ascii="黑体" w:hAnsi="黑体" w:eastAsia="黑体" w:cs="黑体"/>
          <w:b w:val="0"/>
          <w:sz w:val="32"/>
          <w:szCs w:val="32"/>
        </w:rPr>
        <w:t>附件1</w:t>
      </w:r>
    </w:p>
    <w:p>
      <w:pPr>
        <w:pStyle w:val="12"/>
        <w:spacing w:before="0" w:line="560" w:lineRule="exact"/>
        <w:ind w:firstLine="0" w:firstLineChars="0"/>
        <w:jc w:val="both"/>
        <w:rPr>
          <w:rFonts w:asciiTheme="majorEastAsia" w:hAnsiTheme="majorEastAsia" w:eastAsiaTheme="majorEastAsia"/>
          <w:sz w:val="44"/>
          <w:szCs w:val="44"/>
        </w:rPr>
      </w:pPr>
      <w:r>
        <w:rPr>
          <w:rFonts w:hint="eastAsia" w:asciiTheme="majorEastAsia" w:hAnsiTheme="majorEastAsia" w:eastAsiaTheme="majorEastAsia"/>
          <w:sz w:val="44"/>
          <w:szCs w:val="44"/>
        </w:rPr>
        <w:t>龙华区非农建设用地管理办法</w:t>
      </w:r>
      <w:bookmarkEnd w:id="0"/>
      <w:bookmarkStart w:id="2" w:name="_Toc11830488"/>
      <w:r>
        <w:rPr>
          <w:rFonts w:hint="eastAsia" w:asciiTheme="majorEastAsia" w:hAnsiTheme="majorEastAsia" w:eastAsiaTheme="majorEastAsia"/>
          <w:sz w:val="44"/>
          <w:szCs w:val="44"/>
        </w:rPr>
        <w:t>（2019年修订）</w:t>
      </w:r>
    </w:p>
    <w:bookmarkEnd w:id="1"/>
    <w:bookmarkEnd w:id="2"/>
    <w:p>
      <w:pPr>
        <w:pStyle w:val="12"/>
        <w:spacing w:before="0" w:line="560" w:lineRule="exact"/>
        <w:ind w:firstLine="3040" w:firstLineChars="950"/>
        <w:jc w:val="left"/>
        <w:rPr>
          <w:rFonts w:ascii="仿宋_GB2312" w:hAnsi="仿宋" w:eastAsia="仿宋_GB2312" w:cs="Arial"/>
          <w:b w:val="0"/>
          <w:bCs w:val="0"/>
        </w:rPr>
      </w:pPr>
      <w:r>
        <w:rPr>
          <w:rFonts w:hint="eastAsia" w:ascii="仿宋_GB2312" w:hAnsi="仿宋" w:eastAsia="仿宋_GB2312" w:cs="Arial"/>
          <w:b w:val="0"/>
          <w:bCs w:val="0"/>
        </w:rPr>
        <w:t>（征求意见稿）</w:t>
      </w:r>
    </w:p>
    <w:p>
      <w:pPr>
        <w:pStyle w:val="2"/>
        <w:keepNext w:val="0"/>
        <w:keepLines w:val="0"/>
        <w:widowControl w:val="0"/>
        <w:numPr>
          <w:ilvl w:val="0"/>
          <w:numId w:val="2"/>
        </w:numPr>
        <w:spacing w:before="156" w:line="560" w:lineRule="exact"/>
        <w:rPr>
          <w:rFonts w:hAnsi="黑体"/>
          <w:b w:val="0"/>
          <w:sz w:val="32"/>
        </w:rPr>
      </w:pPr>
      <w:bookmarkStart w:id="3" w:name="_Toc16178844"/>
      <w:r>
        <w:rPr>
          <w:rFonts w:hint="eastAsia" w:hAnsi="黑体"/>
          <w:b w:val="0"/>
          <w:sz w:val="32"/>
        </w:rPr>
        <w:t>总则</w:t>
      </w:r>
      <w:bookmarkEnd w:id="3"/>
      <w:bookmarkStart w:id="25" w:name="_GoBack"/>
      <w:bookmarkEnd w:id="25"/>
    </w:p>
    <w:p>
      <w:pPr>
        <w:spacing w:line="560" w:lineRule="exact"/>
      </w:pPr>
    </w:p>
    <w:p>
      <w:pPr>
        <w:pStyle w:val="2"/>
        <w:numPr>
          <w:ilvl w:val="0"/>
          <w:numId w:val="0"/>
        </w:numPr>
        <w:spacing w:before="156" w:line="560" w:lineRule="exact"/>
        <w:ind w:left="420" w:firstLine="643" w:firstLineChars="200"/>
        <w:rPr>
          <w:sz w:val="32"/>
          <w:szCs w:val="36"/>
        </w:rPr>
        <w:sectPr>
          <w:footerReference r:id="rId3" w:type="default"/>
          <w:pgSz w:w="11906" w:h="16838"/>
          <w:pgMar w:top="1440" w:right="1800" w:bottom="1440" w:left="1800" w:header="283" w:footer="283" w:gutter="0"/>
          <w:cols w:space="425" w:num="1"/>
          <w:docGrid w:type="lines" w:linePitch="312" w:charSpace="0"/>
        </w:sectPr>
      </w:pPr>
    </w:p>
    <w:p>
      <w:pPr>
        <w:pStyle w:val="3"/>
        <w:keepNext w:val="0"/>
        <w:keepLines w:val="0"/>
        <w:spacing w:before="0" w:after="0" w:line="600" w:lineRule="exact"/>
        <w:ind w:firstLine="640" w:firstLineChars="200"/>
        <w:rPr>
          <w:rFonts w:ascii="黑体" w:hAnsi="黑体" w:eastAsia="黑体"/>
          <w:b w:val="0"/>
        </w:rPr>
      </w:pPr>
      <w:bookmarkStart w:id="4" w:name="_Toc26371159"/>
      <w:r>
        <w:rPr>
          <w:rFonts w:hint="eastAsia" w:ascii="黑体" w:hAnsi="黑体" w:eastAsia="黑体"/>
          <w:b w:val="0"/>
        </w:rPr>
        <w:t>第一条【目的依据】</w:t>
      </w:r>
      <w:bookmarkEnd w:id="4"/>
      <w:r>
        <w:rPr>
          <w:rFonts w:hint="eastAsia" w:ascii="仿宋_GB2312" w:hAnsi="仿宋" w:eastAsia="仿宋_GB2312" w:cs="Arial"/>
          <w:b w:val="0"/>
          <w:kern w:val="0"/>
        </w:rPr>
        <w:t>为加强非农建设用地管理，保障城市规划实施，加快推进城市更新、土地整备利益统筹项目，促进集约节约用地，维护原农村集体经济组织继受单位及成员的合法权益，根据相关法律法规及《关于印发&lt;深圳市宝安龙岗两区城市化土地管理办法&gt;的通知》（深府〔2004〕102号，以下简称深府〔2004〕102号文）、《关于印发&lt;深圳市宝安龙岗两区城市化非农建设用地划定办法&gt;的通知》（深府〔2005〕65号）、《关于印发&lt;宝安区城市化非农建设用地划定操作办法&gt;的通知》（深宝府〔2005〕56号）等规定，结合龙华区实际情况，制定本办法。</w:t>
      </w:r>
    </w:p>
    <w:p>
      <w:pPr>
        <w:pStyle w:val="3"/>
        <w:keepNext w:val="0"/>
        <w:keepLines w:val="0"/>
        <w:spacing w:before="0" w:after="0" w:line="600" w:lineRule="exact"/>
        <w:ind w:firstLine="640" w:firstLineChars="200"/>
        <w:rPr>
          <w:rFonts w:ascii="黑体" w:hAnsi="黑体" w:eastAsia="黑体"/>
          <w:b w:val="0"/>
        </w:rPr>
      </w:pPr>
      <w:bookmarkStart w:id="5" w:name="_Toc26371160"/>
      <w:r>
        <w:rPr>
          <w:rFonts w:hint="eastAsia" w:ascii="黑体" w:hAnsi="黑体" w:eastAsia="黑体"/>
          <w:b w:val="0"/>
        </w:rPr>
        <w:t>第二条【管理对象及适用范围】</w:t>
      </w:r>
      <w:bookmarkEnd w:id="5"/>
      <w:r>
        <w:rPr>
          <w:rFonts w:hint="eastAsia" w:ascii="仿宋_GB2312" w:hAnsi="仿宋" w:eastAsia="仿宋_GB2312" w:cs="Arial"/>
          <w:b w:val="0"/>
          <w:kern w:val="0"/>
        </w:rPr>
        <w:t>本办法所指的非农建设用地是指为了保障原农村集体经济组织生产生活需要，促进其可持续发展，根据深府〔2004〕102 号文所规定的标准已划定的非农建设用地，包括非农建设工商用地、未建房户用地；本办法所指的非农建设用地指标是指根据深府〔2004〕102 号文所规定的标准确定但未落实的非农建设工商用地指标。</w:t>
      </w:r>
    </w:p>
    <w:p>
      <w:pPr>
        <w:shd w:val="clear" w:color="auto" w:fill="FFFFFF"/>
        <w:spacing w:line="60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龙华区关于非农建设用地指标的落实、已划定非农建设用地的调整置换及开发建设，适用本办法。</w:t>
      </w:r>
      <w:bookmarkStart w:id="6" w:name="_Toc26371161"/>
    </w:p>
    <w:p>
      <w:pPr>
        <w:pStyle w:val="3"/>
        <w:keepNext w:val="0"/>
        <w:keepLines w:val="0"/>
        <w:spacing w:before="0" w:after="0" w:line="600" w:lineRule="exact"/>
        <w:ind w:firstLine="640" w:firstLineChars="200"/>
        <w:rPr>
          <w:rFonts w:ascii="黑体" w:hAnsi="黑体" w:eastAsia="黑体"/>
          <w:b w:val="0"/>
        </w:rPr>
      </w:pPr>
      <w:r>
        <w:rPr>
          <w:rFonts w:hint="eastAsia" w:ascii="黑体" w:hAnsi="黑体" w:eastAsia="黑体"/>
          <w:b w:val="0"/>
        </w:rPr>
        <w:t>第三条【总体原则】</w:t>
      </w:r>
      <w:bookmarkEnd w:id="6"/>
      <w:r>
        <w:rPr>
          <w:rFonts w:hint="eastAsia" w:ascii="仿宋_GB2312" w:hAnsi="仿宋" w:eastAsia="仿宋_GB2312" w:cs="Arial"/>
          <w:b w:val="0"/>
          <w:kern w:val="0"/>
        </w:rPr>
        <w:t>非农建设用地管理应遵循保障规划实施、完善城市功能、优化用地布局、集约节约用地、均衡土地价值、推动社区发展的原则。鼓励通过城市更新、土地整备利益统筹等方式促进非农建设用地的开发利用。</w:t>
      </w:r>
    </w:p>
    <w:p>
      <w:pPr>
        <w:pStyle w:val="3"/>
        <w:keepNext w:val="0"/>
        <w:keepLines w:val="0"/>
        <w:spacing w:before="0" w:after="0" w:line="600" w:lineRule="exact"/>
        <w:ind w:firstLine="640" w:firstLineChars="200"/>
        <w:rPr>
          <w:rFonts w:ascii="仿宋_GB2312" w:hAnsi="仿宋" w:eastAsia="仿宋_GB2312" w:cs="Arial"/>
          <w:b w:val="0"/>
          <w:kern w:val="0"/>
        </w:rPr>
      </w:pPr>
      <w:bookmarkStart w:id="7" w:name="_Toc26371162"/>
      <w:r>
        <w:rPr>
          <w:rFonts w:hint="eastAsia" w:ascii="黑体" w:hAnsi="黑体" w:eastAsia="黑体"/>
          <w:b w:val="0"/>
        </w:rPr>
        <w:t>第四条【管理机制】</w:t>
      </w:r>
      <w:bookmarkEnd w:id="7"/>
      <w:r>
        <w:rPr>
          <w:rFonts w:hint="eastAsia" w:ascii="仿宋_GB2312" w:hAnsi="仿宋" w:eastAsia="仿宋_GB2312" w:cs="Arial"/>
          <w:b w:val="0"/>
          <w:kern w:val="0"/>
        </w:rPr>
        <w:t xml:space="preserve">区建设用地审批领导小组（以下简称“区领导小组”）负责审定非农建设用地管理的重大事项。          </w:t>
      </w:r>
    </w:p>
    <w:p>
      <w:pPr>
        <w:pStyle w:val="3"/>
        <w:keepNext w:val="0"/>
        <w:keepLines w:val="0"/>
        <w:spacing w:before="0" w:after="0" w:line="600" w:lineRule="exact"/>
        <w:ind w:firstLine="640" w:firstLineChars="200"/>
        <w:rPr>
          <w:rFonts w:ascii="仿宋_GB2312" w:hAnsi="仿宋" w:eastAsia="仿宋_GB2312" w:cs="Arial"/>
          <w:b w:val="0"/>
          <w:kern w:val="0"/>
        </w:rPr>
      </w:pPr>
      <w:r>
        <w:rPr>
          <w:rFonts w:hint="eastAsia" w:ascii="仿宋_GB2312" w:hAnsi="仿宋" w:eastAsia="仿宋_GB2312" w:cs="Arial"/>
          <w:b w:val="0"/>
          <w:kern w:val="0"/>
        </w:rPr>
        <w:t>市规划和自然资源局龙华管理局为非农建设用地的日常管理主体，负责建立、管理非农建设用地台账，对非农建设用地指标的落实、非农建设用地调整置换及开发建设等事项进行管理。</w:t>
      </w:r>
    </w:p>
    <w:p>
      <w:pPr>
        <w:spacing w:line="60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原农村集体经济组织继受单位为非农建设用地开发建设、调整置换等事项的申报主体，有关方案应按公司章程及市、区集体资产管理的相关规定，组织召开股东（代表）大会等相关会议对申报事项进行表决同意，并予以公证。</w:t>
      </w:r>
    </w:p>
    <w:p>
      <w:pPr>
        <w:spacing w:line="60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区集体资产管理局（区国资局）、区城市更新和土地整备局、辖区街道办事处等有关单位在各自职权范围内对涉及的非农建设用地事项按相应规定进行管理。</w:t>
      </w:r>
    </w:p>
    <w:p>
      <w:pPr>
        <w:spacing w:line="60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区纪委监委机关应加强对非农建设用地管理所涉及的相关单位及街道办进行监督，并受理相关投诉。</w:t>
      </w:r>
    </w:p>
    <w:p>
      <w:pPr>
        <w:spacing w:line="60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各职能部门应各司其职，加强联动，共同做好非农建设用地管理工作。</w:t>
      </w:r>
    </w:p>
    <w:p>
      <w:pPr>
        <w:pStyle w:val="3"/>
        <w:keepNext w:val="0"/>
        <w:keepLines w:val="0"/>
        <w:spacing w:before="0" w:after="0" w:line="600" w:lineRule="exact"/>
        <w:ind w:firstLine="640" w:firstLineChars="200"/>
        <w:rPr>
          <w:rFonts w:ascii="黑体" w:hAnsi="黑体" w:eastAsia="黑体"/>
          <w:b w:val="0"/>
        </w:rPr>
      </w:pPr>
      <w:bookmarkStart w:id="8" w:name="_Toc26371163"/>
      <w:r>
        <w:rPr>
          <w:rFonts w:hint="eastAsia" w:ascii="黑体" w:hAnsi="黑体" w:eastAsia="黑体"/>
          <w:b w:val="0"/>
        </w:rPr>
        <w:t>第五条【审批程序】</w:t>
      </w:r>
      <w:bookmarkEnd w:id="8"/>
      <w:r>
        <w:rPr>
          <w:rFonts w:hint="eastAsia" w:ascii="仿宋_GB2312" w:hAnsi="仿宋" w:eastAsia="仿宋_GB2312" w:cs="Arial"/>
          <w:b w:val="0"/>
          <w:kern w:val="0"/>
        </w:rPr>
        <w:t>本办法涉及非农建设用地指标的落实、非农建设用地异地调整置换、参与城市更新和土地整备利益统筹项目的，经辖区街道办事处出具审查意见及区集体资产管理局（区国资局）复审后，由原农村集体经济组织继受单位提出申请，市规划和自然资源局龙华管理局负责审核后报区领导小组审定。</w:t>
      </w:r>
    </w:p>
    <w:p>
      <w:pPr>
        <w:spacing w:line="60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非农建设用地在原用地位置对范围进行微调的，由市规划和自然资源局龙华管理局审定后实施，并报区领导小组备案。</w:t>
      </w:r>
    </w:p>
    <w:p>
      <w:pPr>
        <w:spacing w:line="60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非农建设用地在原地进行开发建设或拆除重建的，经辖区街道办事处出具审查意见及区集体资产管理局（区国资局）复审后，由原农村集体经济组织继受单位提出申请，市规划和自然资源局龙华管理局审定后实施。</w:t>
      </w:r>
    </w:p>
    <w:p>
      <w:pPr>
        <w:pStyle w:val="2"/>
        <w:keepNext w:val="0"/>
        <w:keepLines w:val="0"/>
        <w:widowControl w:val="0"/>
        <w:numPr>
          <w:ilvl w:val="0"/>
          <w:numId w:val="0"/>
        </w:numPr>
        <w:spacing w:beforeLines="0" w:line="600" w:lineRule="exact"/>
        <w:ind w:left="420" w:firstLine="1600" w:firstLineChars="500"/>
        <w:rPr>
          <w:rFonts w:hAnsi="黑体"/>
          <w:b w:val="0"/>
          <w:sz w:val="32"/>
        </w:rPr>
      </w:pPr>
      <w:bookmarkStart w:id="9" w:name="_Toc16178850"/>
      <w:r>
        <w:rPr>
          <w:rFonts w:hint="eastAsia" w:hAnsi="黑体"/>
          <w:b w:val="0"/>
          <w:sz w:val="32"/>
        </w:rPr>
        <w:t>第二章 用地开发与</w:t>
      </w:r>
      <w:bookmarkEnd w:id="9"/>
      <w:r>
        <w:rPr>
          <w:rFonts w:hint="eastAsia" w:hAnsi="黑体"/>
          <w:b w:val="0"/>
          <w:sz w:val="32"/>
        </w:rPr>
        <w:t>调整</w:t>
      </w:r>
    </w:p>
    <w:p>
      <w:pPr>
        <w:spacing w:line="600" w:lineRule="exact"/>
      </w:pPr>
    </w:p>
    <w:p>
      <w:pPr>
        <w:pStyle w:val="3"/>
        <w:keepNext w:val="0"/>
        <w:keepLines w:val="0"/>
        <w:spacing w:before="0" w:after="0" w:line="600" w:lineRule="exact"/>
        <w:ind w:firstLine="640" w:firstLineChars="200"/>
        <w:rPr>
          <w:rFonts w:ascii="黑体" w:hAnsi="黑体" w:eastAsia="黑体"/>
          <w:b w:val="0"/>
        </w:rPr>
      </w:pPr>
      <w:bookmarkStart w:id="10" w:name="_Toc26371165"/>
      <w:r>
        <w:rPr>
          <w:rFonts w:hint="eastAsia" w:ascii="黑体" w:hAnsi="黑体" w:eastAsia="黑体"/>
          <w:b w:val="0"/>
        </w:rPr>
        <w:t>第六条【原地开发建设】</w:t>
      </w:r>
      <w:bookmarkEnd w:id="10"/>
      <w:r>
        <w:rPr>
          <w:rFonts w:hint="eastAsia" w:ascii="仿宋_GB2312" w:hAnsi="仿宋" w:eastAsia="仿宋_GB2312" w:cs="Arial"/>
          <w:b w:val="0"/>
          <w:kern w:val="0"/>
        </w:rPr>
        <w:t>已划定非农建设用地开发建设的，按下列规定处理：</w:t>
      </w:r>
    </w:p>
    <w:p>
      <w:pPr>
        <w:spacing w:line="60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（一）未建用地可按现行已生效规划的相关要求办理规划、用地等手续后进行开发建设。</w:t>
      </w:r>
    </w:p>
    <w:p>
      <w:pPr>
        <w:spacing w:line="60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（二）已建用地可申报纳入城市更新和土地整备利益统筹，按其相关规定执行；若自行拆除重建的，须严格按规划实施并办理相关用地手续。</w:t>
      </w:r>
    </w:p>
    <w:p>
      <w:pPr>
        <w:spacing w:line="60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原农村集体经济组织继受单位可以申请将难以独立开发的多宗非农建设用地，整合后进行开发建设。整合过程中涉及到的用地调整按本办法第九条规定处理。</w:t>
      </w:r>
    </w:p>
    <w:p>
      <w:pPr>
        <w:pStyle w:val="3"/>
        <w:keepNext w:val="0"/>
        <w:keepLines w:val="0"/>
        <w:spacing w:before="0" w:after="0" w:line="600" w:lineRule="exact"/>
        <w:ind w:firstLine="640" w:firstLineChars="200"/>
        <w:rPr>
          <w:rFonts w:ascii="黑体" w:hAnsi="黑体" w:eastAsia="黑体"/>
          <w:b w:val="0"/>
        </w:rPr>
      </w:pPr>
      <w:bookmarkStart w:id="11" w:name="_Toc26371166"/>
      <w:r>
        <w:rPr>
          <w:rFonts w:hint="eastAsia" w:ascii="黑体" w:hAnsi="黑体" w:eastAsia="黑体"/>
          <w:b w:val="0"/>
        </w:rPr>
        <w:t>第七条【调整置换情形】</w:t>
      </w:r>
      <w:bookmarkEnd w:id="11"/>
      <w:r>
        <w:rPr>
          <w:rFonts w:hint="eastAsia" w:ascii="仿宋_GB2312" w:hAnsi="仿宋" w:eastAsia="仿宋_GB2312" w:cs="Arial"/>
          <w:b w:val="0"/>
          <w:kern w:val="0"/>
        </w:rPr>
        <w:t>已划定非农建设用地有下列情形的，可申请调整置换：</w:t>
      </w:r>
    </w:p>
    <w:p>
      <w:pPr>
        <w:spacing w:line="60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（一）因城市更新和土地整备利益统筹项目需要的；</w:t>
      </w:r>
    </w:p>
    <w:p>
      <w:pPr>
        <w:spacing w:line="60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（二）与规划冲突的（包括占用规划的道路、市政公用设施、公共配套设施、绿地、高压走廊、河道蓝线、水源保护区、基本生态控制线、水域和其他非城市建设用地等）；</w:t>
      </w:r>
    </w:p>
    <w:p>
      <w:pPr>
        <w:spacing w:line="60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（三）与已批用地存在冲突的；</w:t>
      </w:r>
    </w:p>
    <w:p>
      <w:pPr>
        <w:spacing w:line="60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（四）地块形状不规则，原地确难以开发建设的。</w:t>
      </w:r>
    </w:p>
    <w:p>
      <w:pPr>
        <w:spacing w:line="60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非农建设用地被司法机关限制权利的，不可申请调整置换。</w:t>
      </w:r>
    </w:p>
    <w:p>
      <w:pPr>
        <w:pStyle w:val="3"/>
        <w:keepNext w:val="0"/>
        <w:keepLines w:val="0"/>
        <w:spacing w:before="0" w:after="0" w:line="600" w:lineRule="exact"/>
        <w:ind w:firstLine="640" w:firstLineChars="200"/>
        <w:rPr>
          <w:rFonts w:ascii="黑体" w:hAnsi="黑体" w:eastAsia="黑体"/>
          <w:b w:val="0"/>
        </w:rPr>
      </w:pPr>
      <w:bookmarkStart w:id="12" w:name="_Toc26371167"/>
      <w:r>
        <w:rPr>
          <w:rFonts w:hint="eastAsia" w:ascii="黑体" w:hAnsi="黑体" w:eastAsia="黑体"/>
          <w:b w:val="0"/>
        </w:rPr>
        <w:t>第八条【原地调整】</w:t>
      </w:r>
      <w:bookmarkEnd w:id="12"/>
      <w:r>
        <w:rPr>
          <w:rFonts w:hint="eastAsia" w:ascii="仿宋_GB2312" w:hAnsi="仿宋" w:eastAsia="仿宋_GB2312" w:cs="Arial"/>
          <w:b w:val="0"/>
          <w:kern w:val="0"/>
        </w:rPr>
        <w:t>已划定非农建设用地因与现行规划冲突导致难以原地开发建设申请调整的，按下列规定处理：</w:t>
      </w:r>
    </w:p>
    <w:p>
      <w:pPr>
        <w:spacing w:line="60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一）已落地位置规划功能为工业、物流、仓储等产业用途的，原则上按规划实施。与规划冲突的，按原用地规模在原地等面积调整，原地确难等面积调整的，调整后用地面积减少的部分相应指标计入非农建设用地台账，且今后仅用于城市更新或土地整备利益统筹项目。</w:t>
      </w:r>
    </w:p>
    <w:p>
      <w:pPr>
        <w:spacing w:line="60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二）已落地位置主导规划功能为居住、商业或办公的，原则上按规划实施。与规划冲突部分未超过原用地规模35%的，冲突部分用地不作补偿，由政府无偿收回。冲突部分超过原用地规模35%的，按原用地规模的65%折算后原地调整，打折减少部分用地不作补偿，由政府无偿收回。因原地确实无法按打折后核定的用地面积调整的，调整后减少的部分相应指标计入非农建设用地台账，且今后仅用于城市更新或土地整备利益统筹项目。</w:t>
      </w:r>
    </w:p>
    <w:p>
      <w:pPr>
        <w:spacing w:line="60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三）按照调整打折核定用地面积后，原地块形状不规则，周边有零星用地调整的，可按核定后的用地面积结合周边现状及规划情况原地局部优化调整。原地确难优化调整的，可申请异地调整。涉及用地异地调整的按本办法第九条规定处理。</w:t>
      </w:r>
    </w:p>
    <w:p>
      <w:pPr>
        <w:pStyle w:val="3"/>
        <w:keepNext w:val="0"/>
        <w:keepLines w:val="0"/>
        <w:spacing w:before="0" w:after="0" w:line="600" w:lineRule="exact"/>
        <w:ind w:firstLine="640" w:firstLineChars="200"/>
        <w:rPr>
          <w:rFonts w:ascii="黑体" w:hAnsi="黑体" w:eastAsia="黑体"/>
          <w:b w:val="0"/>
        </w:rPr>
      </w:pPr>
      <w:bookmarkStart w:id="13" w:name="_Toc26371169"/>
      <w:r>
        <w:rPr>
          <w:rFonts w:hint="eastAsia" w:ascii="黑体" w:hAnsi="黑体" w:eastAsia="黑体"/>
          <w:b w:val="0"/>
        </w:rPr>
        <w:t>第九条【异地调整】</w:t>
      </w:r>
      <w:bookmarkEnd w:id="13"/>
      <w:r>
        <w:rPr>
          <w:rFonts w:hint="eastAsia" w:ascii="仿宋_GB2312" w:hAnsi="仿宋" w:eastAsia="仿宋_GB2312" w:cs="Arial"/>
          <w:b w:val="0"/>
          <w:kern w:val="0"/>
        </w:rPr>
        <w:t>已划定非农建设用地异地调整及指标落实的，应当优先调入城市更新或土地整备利益统筹项目内。不能在城市更新或土地整备利益统筹项目中落实的，按下列规定处理：</w:t>
      </w:r>
    </w:p>
    <w:p>
      <w:pPr>
        <w:spacing w:line="60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（一）落地地块须符合现行法定规划，原则上不在政府</w:t>
      </w:r>
      <w:r>
        <w:rPr>
          <w:rFonts w:ascii="仿宋_GB2312" w:hAnsi="仿宋" w:eastAsia="仿宋_GB2312" w:cs="Arial"/>
          <w:kern w:val="0"/>
          <w:sz w:val="32"/>
          <w:szCs w:val="32"/>
        </w:rPr>
        <w:t>已补偿</w:t>
      </w:r>
      <w:r>
        <w:rPr>
          <w:rFonts w:hint="eastAsia" w:ascii="仿宋_GB2312" w:hAnsi="仿宋" w:eastAsia="仿宋_GB2312" w:cs="Arial"/>
          <w:kern w:val="0"/>
          <w:sz w:val="32"/>
          <w:szCs w:val="32"/>
        </w:rPr>
        <w:t>的</w:t>
      </w:r>
      <w:r>
        <w:rPr>
          <w:rFonts w:ascii="仿宋_GB2312" w:hAnsi="仿宋" w:eastAsia="仿宋_GB2312" w:cs="Arial"/>
          <w:kern w:val="0"/>
          <w:sz w:val="32"/>
          <w:szCs w:val="32"/>
        </w:rPr>
        <w:t>国有土地</w:t>
      </w:r>
      <w:r>
        <w:rPr>
          <w:rFonts w:hint="eastAsia" w:ascii="仿宋_GB2312" w:hAnsi="仿宋" w:eastAsia="仿宋_GB2312" w:cs="Arial"/>
          <w:kern w:val="0"/>
          <w:sz w:val="32"/>
          <w:szCs w:val="32"/>
        </w:rPr>
        <w:t>范围内</w:t>
      </w:r>
      <w:r>
        <w:rPr>
          <w:rFonts w:ascii="仿宋_GB2312" w:hAnsi="仿宋" w:eastAsia="仿宋_GB2312" w:cs="Arial"/>
          <w:kern w:val="0"/>
          <w:sz w:val="32"/>
          <w:szCs w:val="32"/>
        </w:rPr>
        <w:t>安排选址</w:t>
      </w:r>
      <w:r>
        <w:rPr>
          <w:rFonts w:hint="eastAsia" w:ascii="仿宋_GB2312" w:hAnsi="仿宋" w:eastAsia="仿宋_GB2312" w:cs="Arial"/>
          <w:kern w:val="0"/>
          <w:sz w:val="32"/>
          <w:szCs w:val="32"/>
        </w:rPr>
        <w:t>。</w:t>
      </w:r>
    </w:p>
    <w:p>
      <w:pPr>
        <w:spacing w:line="60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（二）优先在原行政村辖区范围内调整。经其他原农村集体经济组织继受单位同意的</w:t>
      </w:r>
      <w:r>
        <w:rPr>
          <w:rFonts w:ascii="仿宋_GB2312" w:hAnsi="仿宋" w:eastAsia="仿宋_GB2312" w:cs="Arial"/>
          <w:kern w:val="0"/>
          <w:sz w:val="32"/>
          <w:szCs w:val="32"/>
        </w:rPr>
        <w:t>，</w:t>
      </w:r>
      <w:r>
        <w:rPr>
          <w:rFonts w:hint="eastAsia" w:ascii="仿宋_GB2312" w:hAnsi="仿宋" w:eastAsia="仿宋_GB2312" w:cs="Arial"/>
          <w:kern w:val="0"/>
          <w:sz w:val="32"/>
          <w:szCs w:val="32"/>
        </w:rPr>
        <w:t>可在本</w:t>
      </w:r>
      <w:r>
        <w:rPr>
          <w:rFonts w:ascii="仿宋_GB2312" w:hAnsi="仿宋" w:eastAsia="仿宋_GB2312" w:cs="Arial"/>
          <w:kern w:val="0"/>
          <w:sz w:val="32"/>
          <w:szCs w:val="32"/>
        </w:rPr>
        <w:t>街道办</w:t>
      </w:r>
      <w:r>
        <w:rPr>
          <w:rFonts w:hint="eastAsia" w:ascii="仿宋_GB2312" w:hAnsi="仿宋" w:eastAsia="仿宋_GB2312" w:cs="Arial"/>
          <w:kern w:val="0"/>
          <w:sz w:val="32"/>
          <w:szCs w:val="32"/>
        </w:rPr>
        <w:t>辖区</w:t>
      </w:r>
      <w:r>
        <w:rPr>
          <w:rFonts w:ascii="仿宋_GB2312" w:hAnsi="仿宋" w:eastAsia="仿宋_GB2312" w:cs="Arial"/>
          <w:kern w:val="0"/>
          <w:sz w:val="32"/>
          <w:szCs w:val="32"/>
        </w:rPr>
        <w:t>范围内未完善征（</w:t>
      </w:r>
      <w:r>
        <w:rPr>
          <w:rFonts w:hint="eastAsia" w:ascii="仿宋_GB2312" w:hAnsi="仿宋" w:eastAsia="仿宋_GB2312" w:cs="Arial"/>
          <w:kern w:val="0"/>
          <w:sz w:val="32"/>
          <w:szCs w:val="32"/>
        </w:rPr>
        <w:t>转</w:t>
      </w:r>
      <w:r>
        <w:rPr>
          <w:rFonts w:ascii="仿宋_GB2312" w:hAnsi="仿宋" w:eastAsia="仿宋_GB2312" w:cs="Arial"/>
          <w:kern w:val="0"/>
          <w:sz w:val="32"/>
          <w:szCs w:val="32"/>
        </w:rPr>
        <w:t>）</w:t>
      </w:r>
      <w:r>
        <w:rPr>
          <w:rFonts w:hint="eastAsia" w:ascii="仿宋_GB2312" w:hAnsi="仿宋" w:eastAsia="仿宋_GB2312" w:cs="Arial"/>
          <w:kern w:val="0"/>
          <w:sz w:val="32"/>
          <w:szCs w:val="32"/>
        </w:rPr>
        <w:t>地补偿</w:t>
      </w:r>
      <w:r>
        <w:rPr>
          <w:rFonts w:ascii="仿宋_GB2312" w:hAnsi="仿宋" w:eastAsia="仿宋_GB2312" w:cs="Arial"/>
          <w:kern w:val="0"/>
          <w:sz w:val="32"/>
          <w:szCs w:val="32"/>
        </w:rPr>
        <w:t>手续</w:t>
      </w:r>
      <w:r>
        <w:rPr>
          <w:rFonts w:hint="eastAsia" w:ascii="仿宋_GB2312" w:hAnsi="仿宋" w:eastAsia="仿宋_GB2312" w:cs="Arial"/>
          <w:kern w:val="0"/>
          <w:sz w:val="32"/>
          <w:szCs w:val="32"/>
        </w:rPr>
        <w:t>的</w:t>
      </w:r>
      <w:r>
        <w:rPr>
          <w:rFonts w:ascii="仿宋_GB2312" w:hAnsi="仿宋" w:eastAsia="仿宋_GB2312" w:cs="Arial"/>
          <w:kern w:val="0"/>
          <w:sz w:val="32"/>
          <w:szCs w:val="32"/>
        </w:rPr>
        <w:t>用地上</w:t>
      </w:r>
      <w:r>
        <w:rPr>
          <w:rFonts w:hint="eastAsia" w:ascii="仿宋_GB2312" w:hAnsi="仿宋" w:eastAsia="仿宋_GB2312" w:cs="Arial"/>
          <w:kern w:val="0"/>
          <w:sz w:val="32"/>
          <w:szCs w:val="32"/>
        </w:rPr>
        <w:t>安排。</w:t>
      </w:r>
    </w:p>
    <w:p>
      <w:pPr>
        <w:spacing w:line="60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（三）原则上按“已建调已建、未建调已建、未建调未建”进行调整置换，但因土地整备工作需要，经区领导小组审定同意的除外。</w:t>
      </w:r>
    </w:p>
    <w:p>
      <w:pPr>
        <w:spacing w:line="60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原农村集体经济组织继受单位自行拆除地上建筑物并理顺相应经济关系且无偿移交政府的，可视为未建用地进行调整。</w:t>
      </w:r>
    </w:p>
    <w:p>
      <w:pPr>
        <w:spacing w:line="60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（四）原则上按原用地规模等面积进行调整置换。如调整置换至规划功能为居住、商业或办公的，按原用地规模的65%确定用地面积。</w:t>
      </w:r>
    </w:p>
    <w:p>
      <w:pPr>
        <w:spacing w:line="60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调整打折后用地面积减少部分不再补回，由原农村集体经济组织继受单位书面承诺今后不再要求货币或土地补偿。</w:t>
      </w:r>
    </w:p>
    <w:p>
      <w:pPr>
        <w:spacing w:line="60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五）因土地整备、公共利益、轨道交通等重大市政基础设施建设需要而导致用地调整的，原则上按本办法第八条（一）、（二）款的规定处理。如土地整备留用安置方案明确需等面积落实调整的，从其规定处理。</w:t>
      </w:r>
    </w:p>
    <w:p>
      <w:pPr>
        <w:pStyle w:val="3"/>
        <w:keepNext w:val="0"/>
        <w:keepLines w:val="0"/>
        <w:spacing w:before="0" w:after="0" w:line="600" w:lineRule="exact"/>
        <w:ind w:firstLine="640" w:firstLineChars="200"/>
        <w:rPr>
          <w:rFonts w:ascii="仿宋_GB2312" w:hAnsi="仿宋" w:eastAsia="仿宋_GB2312" w:cs="Arial"/>
          <w:b w:val="0"/>
          <w:bCs w:val="0"/>
          <w:kern w:val="0"/>
        </w:rPr>
      </w:pPr>
      <w:bookmarkStart w:id="14" w:name="_Toc26371171"/>
      <w:r>
        <w:rPr>
          <w:rFonts w:hint="eastAsia" w:ascii="黑体" w:hAnsi="黑体" w:eastAsia="黑体"/>
          <w:b w:val="0"/>
        </w:rPr>
        <w:t>第十条【调整前地块处理】</w:t>
      </w:r>
      <w:bookmarkEnd w:id="14"/>
      <w:r>
        <w:rPr>
          <w:rFonts w:hint="eastAsia" w:ascii="仿宋_GB2312" w:hAnsi="仿宋" w:eastAsia="仿宋_GB2312" w:cs="Arial"/>
          <w:b w:val="0"/>
          <w:kern w:val="0"/>
        </w:rPr>
        <w:t>与规划、已批用地冲突调整置换的，调整前地块现状属空地的，调整前地块由区城市更新和土地整备局按相关征地安置补偿标准完善征（转）地手续后纳入国有储备土地管理。</w:t>
      </w:r>
    </w:p>
    <w:p>
      <w:pPr>
        <w:spacing w:line="60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调整前地块现状属建成区的，建筑物暂时保留使用，不允许加建、扩建和改建，今后规划实施时按相关政策处置。</w:t>
      </w:r>
    </w:p>
    <w:p>
      <w:pPr>
        <w:pStyle w:val="3"/>
        <w:keepNext w:val="0"/>
        <w:keepLines w:val="0"/>
        <w:spacing w:before="0" w:after="0" w:line="600" w:lineRule="exact"/>
        <w:ind w:firstLine="640" w:firstLineChars="200"/>
        <w:rPr>
          <w:rFonts w:ascii="仿宋_GB2312" w:hAnsi="仿宋" w:eastAsia="仿宋_GB2312" w:cs="Arial"/>
          <w:b w:val="0"/>
          <w:kern w:val="0"/>
        </w:rPr>
      </w:pPr>
      <w:r>
        <w:rPr>
          <w:rFonts w:hint="eastAsia" w:ascii="黑体" w:hAnsi="黑体" w:eastAsia="黑体"/>
          <w:b w:val="0"/>
        </w:rPr>
        <w:t>第十一条【用地提容】</w:t>
      </w:r>
      <w:r>
        <w:rPr>
          <w:rFonts w:hint="eastAsia" w:ascii="仿宋_GB2312" w:hAnsi="黑体" w:eastAsia="仿宋_GB2312"/>
          <w:b w:val="0"/>
        </w:rPr>
        <w:t>已划定的</w:t>
      </w:r>
      <w:r>
        <w:rPr>
          <w:rFonts w:hint="eastAsia" w:ascii="仿宋_GB2312" w:hAnsi="仿宋" w:eastAsia="仿宋_GB2312" w:cs="Arial"/>
          <w:b w:val="0"/>
          <w:kern w:val="0"/>
        </w:rPr>
        <w:t>非农建设用地原则上不得申请变更已生效法定图则规划用途。</w:t>
      </w:r>
    </w:p>
    <w:p>
      <w:pPr>
        <w:pStyle w:val="3"/>
        <w:keepNext w:val="0"/>
        <w:keepLines w:val="0"/>
        <w:spacing w:before="0" w:after="0" w:line="600" w:lineRule="exact"/>
        <w:ind w:firstLine="640" w:firstLineChars="200"/>
        <w:rPr>
          <w:rFonts w:ascii="黑体" w:hAnsi="黑体" w:eastAsia="黑体"/>
          <w:b w:val="0"/>
        </w:rPr>
      </w:pPr>
      <w:r>
        <w:rPr>
          <w:rFonts w:hint="eastAsia" w:ascii="仿宋_GB2312" w:hAnsi="仿宋" w:eastAsia="仿宋_GB2312" w:cs="Arial"/>
          <w:b w:val="0"/>
          <w:kern w:val="0"/>
        </w:rPr>
        <w:t xml:space="preserve">尚未签订土地使用权出让合同的非农建设用地，原农村集体经济组织继受单位申请提高容积率的，按下列规定办理： </w:t>
      </w:r>
    </w:p>
    <w:p>
      <w:pPr>
        <w:spacing w:line="60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规划为居住的非农建设用地，提高容积率新增建筑面积的部分全部建设为可销售的人才住房。</w:t>
      </w:r>
    </w:p>
    <w:p>
      <w:pPr>
        <w:spacing w:line="60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规划为商业的非农建设用地，提高容积率新增建筑面积的，应将不低于新增建筑面积部分的20%（须为办公用房或原法定图则未规划的公共配套设施用房）无偿移交政府。</w:t>
      </w:r>
    </w:p>
    <w:p>
      <w:pPr>
        <w:spacing w:line="60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规划为工业的非农建设用地，提高容积率新增建筑面积的，应将不低于新增建筑面积部分的15%（不含地块内应无偿移交的附建式公共配套设施和交通市政设施）无偿移交政府。</w:t>
      </w:r>
    </w:p>
    <w:p>
      <w:pPr>
        <w:spacing w:line="60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法定图则已明确容积率的，超出原已生效法定图则规划建筑面积的部分视为新增建筑面积。法定图则未明确容积率的，按照居住用地1.8，商业服务业用地2.0，工业、物流仓储用地及其他城市基础设施、公共服务设施等其他用途用地1.0，核算基准容积率，超过部分视为提高容积率。</w:t>
      </w:r>
    </w:p>
    <w:p>
      <w:pPr>
        <w:pStyle w:val="2"/>
        <w:keepNext w:val="0"/>
        <w:keepLines w:val="0"/>
        <w:widowControl w:val="0"/>
        <w:numPr>
          <w:ilvl w:val="0"/>
          <w:numId w:val="0"/>
        </w:numPr>
        <w:spacing w:beforeLines="0" w:line="600" w:lineRule="exact"/>
        <w:ind w:firstLine="1280"/>
        <w:rPr>
          <w:rFonts w:hAnsi="黑体"/>
          <w:b w:val="0"/>
          <w:sz w:val="32"/>
        </w:rPr>
      </w:pPr>
      <w:bookmarkStart w:id="15" w:name="_Toc16178859"/>
      <w:r>
        <w:rPr>
          <w:rFonts w:hint="eastAsia" w:hAnsi="黑体"/>
          <w:b w:val="0"/>
          <w:bCs w:val="0"/>
          <w:sz w:val="32"/>
        </w:rPr>
        <w:t>第三</w:t>
      </w:r>
      <w:r>
        <w:rPr>
          <w:rFonts w:hint="eastAsia" w:hAnsi="黑体"/>
          <w:b w:val="0"/>
          <w:sz w:val="32"/>
        </w:rPr>
        <w:t>章 参与城市更新和土地整备利益统筹</w:t>
      </w:r>
      <w:bookmarkEnd w:id="15"/>
    </w:p>
    <w:p>
      <w:pPr>
        <w:spacing w:line="600" w:lineRule="exact"/>
        <w:ind w:firstLine="1280"/>
      </w:pPr>
    </w:p>
    <w:p>
      <w:pPr>
        <w:pStyle w:val="3"/>
        <w:keepNext w:val="0"/>
        <w:keepLines w:val="0"/>
        <w:adjustRightInd w:val="0"/>
        <w:snapToGrid w:val="0"/>
        <w:spacing w:before="0" w:after="0" w:line="600" w:lineRule="exact"/>
        <w:ind w:firstLine="640" w:firstLineChars="200"/>
        <w:rPr>
          <w:rFonts w:ascii="黑体" w:hAnsi="黑体" w:eastAsia="黑体"/>
          <w:b w:val="0"/>
        </w:rPr>
      </w:pPr>
      <w:bookmarkStart w:id="16" w:name="_Toc26371174"/>
      <w:r>
        <w:rPr>
          <w:rFonts w:hint="eastAsia" w:ascii="黑体" w:hAnsi="黑体" w:eastAsia="黑体"/>
          <w:b w:val="0"/>
        </w:rPr>
        <w:t>第十二条【调入城市更新项目】</w:t>
      </w:r>
      <w:bookmarkEnd w:id="16"/>
      <w:r>
        <w:rPr>
          <w:rFonts w:hint="eastAsia" w:ascii="仿宋_GB2312" w:hAnsi="仿宋" w:eastAsia="仿宋_GB2312" w:cs="Arial"/>
          <w:b w:val="0"/>
          <w:kern w:val="0"/>
        </w:rPr>
        <w:t>非农建设用地调入城市更新项目的，按下列规定处理：</w:t>
      </w:r>
    </w:p>
    <w:p>
      <w:pPr>
        <w:adjustRightInd w:val="0"/>
        <w:snapToGrid w:val="0"/>
        <w:spacing w:line="60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（一）计划申报阶段的城市更新项目，为满足合法权属比例的要求，原农村集体经济组织继受单位可先行申请办理非农建设用地指标调入核查意见。</w:t>
      </w:r>
    </w:p>
    <w:p>
      <w:pPr>
        <w:adjustRightInd w:val="0"/>
        <w:snapToGrid w:val="0"/>
        <w:spacing w:line="60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（二）已取得城市更新单元规划批复的城市更新项目，原农村集体经济组织继受单位可申请办理非农建设用地指标调入。</w:t>
      </w:r>
    </w:p>
    <w:p>
      <w:pPr>
        <w:adjustRightInd w:val="0"/>
        <w:snapToGrid w:val="0"/>
        <w:spacing w:line="60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（三）原则上在本街道辖区范围内调整。涉及城市更新重点统筹片区需调入非农建设用地指标的，可在原</w:t>
      </w:r>
      <w:r>
        <w:rPr>
          <w:rFonts w:ascii="仿宋_GB2312" w:hAnsi="仿宋" w:eastAsia="仿宋_GB2312" w:cs="Arial"/>
          <w:kern w:val="0"/>
          <w:sz w:val="32"/>
          <w:szCs w:val="32"/>
        </w:rPr>
        <w:t>龙华</w:t>
      </w:r>
      <w:r>
        <w:rPr>
          <w:rFonts w:hint="eastAsia" w:ascii="仿宋_GB2312" w:hAnsi="仿宋" w:eastAsia="仿宋_GB2312" w:cs="Arial"/>
          <w:kern w:val="0"/>
          <w:sz w:val="32"/>
          <w:szCs w:val="32"/>
        </w:rPr>
        <w:t>街道（现</w:t>
      </w:r>
      <w:r>
        <w:rPr>
          <w:rFonts w:ascii="仿宋_GB2312" w:hAnsi="仿宋" w:eastAsia="仿宋_GB2312" w:cs="Arial"/>
          <w:kern w:val="0"/>
          <w:sz w:val="32"/>
          <w:szCs w:val="32"/>
        </w:rPr>
        <w:t>大浪、龙华、民治</w:t>
      </w:r>
      <w:r>
        <w:rPr>
          <w:rFonts w:hint="eastAsia" w:ascii="仿宋_GB2312" w:hAnsi="仿宋" w:eastAsia="仿宋_GB2312" w:cs="Arial"/>
          <w:kern w:val="0"/>
          <w:sz w:val="32"/>
          <w:szCs w:val="32"/>
        </w:rPr>
        <w:t>）、原</w:t>
      </w:r>
      <w:r>
        <w:rPr>
          <w:rFonts w:ascii="仿宋_GB2312" w:hAnsi="仿宋" w:eastAsia="仿宋_GB2312" w:cs="Arial"/>
          <w:kern w:val="0"/>
          <w:sz w:val="32"/>
          <w:szCs w:val="32"/>
        </w:rPr>
        <w:t>观澜</w:t>
      </w:r>
      <w:r>
        <w:rPr>
          <w:rFonts w:hint="eastAsia" w:ascii="仿宋_GB2312" w:hAnsi="仿宋" w:eastAsia="仿宋_GB2312" w:cs="Arial"/>
          <w:kern w:val="0"/>
          <w:sz w:val="32"/>
          <w:szCs w:val="32"/>
        </w:rPr>
        <w:t>街道（现</w:t>
      </w:r>
      <w:r>
        <w:rPr>
          <w:rFonts w:ascii="仿宋_GB2312" w:hAnsi="仿宋" w:eastAsia="仿宋_GB2312" w:cs="Arial"/>
          <w:kern w:val="0"/>
          <w:sz w:val="32"/>
          <w:szCs w:val="32"/>
        </w:rPr>
        <w:t>福城、观澜、观湖</w:t>
      </w:r>
      <w:r>
        <w:rPr>
          <w:rFonts w:hint="eastAsia" w:ascii="仿宋_GB2312" w:hAnsi="仿宋" w:eastAsia="仿宋_GB2312" w:cs="Arial"/>
          <w:kern w:val="0"/>
          <w:sz w:val="32"/>
          <w:szCs w:val="32"/>
        </w:rPr>
        <w:t>）范围内调整。</w:t>
      </w:r>
    </w:p>
    <w:p>
      <w:pPr>
        <w:spacing w:line="60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（四）非农建设用地指标按原用地规模等面积核定调入面积。调整前地块现状属空地（含建成区自行拆除为空地的情形）调入城市更新项目的，按原批准用地规模的 1.5 倍核定调入面积，调整前空地无偿移交政府。调整前地块现状属建成区的，地块上建筑物暂时保留使用，不允许加建、扩建和改建，今后规划实施时按相关政策处置。</w:t>
      </w:r>
    </w:p>
    <w:p>
      <w:pPr>
        <w:spacing w:line="600" w:lineRule="exact"/>
        <w:ind w:firstLine="640" w:firstLineChars="200"/>
        <w:rPr>
          <w:rFonts w:ascii="仿宋_GB2312" w:hAnsi="仿宋" w:eastAsia="仿宋_GB2312" w:cs="Arial"/>
          <w:i/>
          <w:kern w:val="0"/>
          <w:sz w:val="28"/>
          <w:szCs w:val="28"/>
        </w:rPr>
      </w:pPr>
      <w:r>
        <w:rPr>
          <w:rFonts w:hint="eastAsia" w:ascii="仿宋_GB2312" w:hAnsi="仿宋" w:eastAsia="仿宋_GB2312" w:cs="Arial"/>
          <w:kern w:val="0"/>
          <w:sz w:val="32"/>
          <w:szCs w:val="32"/>
        </w:rPr>
        <w:t>（五）调入的非农建设用地指标及原项目范围内的合法用地面积之和不得超过城市更新项目拆除范围用地面积的65%。本办法施行前已经原农村集体经济组织继受单位股东（代表）大会表决通过并经街道办事处备案的项目除外。</w:t>
      </w:r>
    </w:p>
    <w:p>
      <w:pPr>
        <w:spacing w:line="60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 xml:space="preserve">（六）调入的非农建设用地仅计非农建设用地指标，不另行制作用地方案图，原已批准的方案图和批复收回作废。 </w:t>
      </w:r>
    </w:p>
    <w:p>
      <w:pPr>
        <w:spacing w:line="60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七）城市更新项目被清理出城市更新单元计划的，原已调入的非农建设用地指标视为未调整。因原用地已完善土地征（转）手续或已开发建设而无法落实非农建设用地的，相应指标计入非农建设用地台账且今后仅用于城市更新或土地整备利益统筹项目。</w:t>
      </w:r>
    </w:p>
    <w:p>
      <w:pPr>
        <w:pStyle w:val="3"/>
        <w:keepNext w:val="0"/>
        <w:keepLines w:val="0"/>
        <w:spacing w:before="0" w:after="0" w:line="600" w:lineRule="exact"/>
        <w:ind w:firstLine="640" w:firstLineChars="200"/>
        <w:rPr>
          <w:rFonts w:ascii="仿宋_GB2312" w:hAnsi="仿宋" w:eastAsia="仿宋_GB2312" w:cs="Arial"/>
          <w:b w:val="0"/>
          <w:kern w:val="0"/>
        </w:rPr>
      </w:pPr>
      <w:bookmarkStart w:id="17" w:name="_Toc26371176"/>
      <w:r>
        <w:rPr>
          <w:rFonts w:hint="eastAsia" w:ascii="黑体" w:hAnsi="黑体" w:eastAsia="黑体"/>
          <w:b w:val="0"/>
        </w:rPr>
        <w:t>第十三条【调入土地整备利益统筹项目】</w:t>
      </w:r>
      <w:bookmarkEnd w:id="17"/>
      <w:r>
        <w:rPr>
          <w:rFonts w:hint="eastAsia" w:ascii="仿宋_GB2312" w:hAnsi="仿宋" w:eastAsia="仿宋_GB2312" w:cs="Arial"/>
          <w:b w:val="0"/>
          <w:kern w:val="0"/>
        </w:rPr>
        <w:t>非农建设用地调入土地整备利益统筹项目的，按下列规定处理：</w:t>
      </w:r>
    </w:p>
    <w:p>
      <w:pPr>
        <w:spacing w:line="600" w:lineRule="exact"/>
        <w:ind w:left="237" w:leftChars="113" w:firstLine="480" w:firstLineChars="150"/>
        <w:rPr>
          <w:rFonts w:ascii="仿宋_GB2312" w:hAnsi="仿宋" w:eastAsia="仿宋_GB2312" w:cs="Arial"/>
          <w:kern w:val="0"/>
          <w:sz w:val="32"/>
          <w:szCs w:val="32"/>
        </w:rPr>
      </w:pPr>
      <w:r>
        <w:rPr>
          <w:rFonts w:hint="eastAsia" w:ascii="仿宋_GB2312" w:hAnsi="仿宋" w:eastAsia="仿宋_GB2312" w:cs="Arial"/>
          <w:kern w:val="0"/>
          <w:sz w:val="32"/>
          <w:szCs w:val="32"/>
        </w:rPr>
        <w:t>（一）土地整备利益统筹项目土地信息核准后、街道办编制土地整备项目实施方案前，原农村集体经济组织继受单位可申请办理非农建设用地指标调入核查意见。实施方案审批通过后，办理非农建设用地指标调入。</w:t>
      </w:r>
    </w:p>
    <w:p>
      <w:pPr>
        <w:spacing w:line="600" w:lineRule="exact"/>
        <w:ind w:left="237" w:leftChars="113" w:firstLine="480" w:firstLineChars="150"/>
        <w:rPr>
          <w:rFonts w:ascii="仿宋_GB2312" w:hAnsi="仿宋" w:eastAsia="仿宋_GB2312" w:cs="Arial"/>
          <w:kern w:val="0"/>
          <w:sz w:val="32"/>
          <w:szCs w:val="32"/>
        </w:rPr>
      </w:pPr>
      <w:r>
        <w:rPr>
          <w:rFonts w:hint="eastAsia" w:ascii="仿宋_GB2312" w:hAnsi="仿宋" w:eastAsia="仿宋_GB2312" w:cs="Arial"/>
          <w:kern w:val="0"/>
          <w:sz w:val="32"/>
          <w:szCs w:val="32"/>
        </w:rPr>
        <w:t>（二）原则上在本街道辖区范围内调整。</w:t>
      </w:r>
    </w:p>
    <w:p>
      <w:pPr>
        <w:spacing w:line="600" w:lineRule="exact"/>
        <w:ind w:left="237" w:leftChars="113" w:firstLine="480" w:firstLineChars="150"/>
        <w:rPr>
          <w:rFonts w:ascii="仿宋_GB2312" w:hAnsi="仿宋" w:eastAsia="仿宋_GB2312" w:cs="Arial"/>
          <w:kern w:val="0"/>
          <w:sz w:val="32"/>
          <w:szCs w:val="32"/>
        </w:rPr>
      </w:pPr>
      <w:r>
        <w:rPr>
          <w:rFonts w:hint="eastAsia" w:ascii="仿宋_GB2312" w:hAnsi="仿宋" w:eastAsia="仿宋_GB2312" w:cs="Arial"/>
          <w:kern w:val="0"/>
          <w:sz w:val="32"/>
          <w:szCs w:val="32"/>
        </w:rPr>
        <w:t>（三）非农建设用地按原用地规模等面积核定调入面积。调入的非农建设用地仅计非农建设用地指标，不另行制作用地方案图。原已批准的方案图和批复收回作废。</w:t>
      </w:r>
    </w:p>
    <w:p>
      <w:pPr>
        <w:spacing w:line="600" w:lineRule="exact"/>
        <w:ind w:left="237" w:leftChars="113" w:firstLine="480" w:firstLineChars="150"/>
        <w:rPr>
          <w:rFonts w:ascii="仿宋_GB2312" w:hAnsi="仿宋" w:eastAsia="仿宋_GB2312" w:cs="Arial"/>
          <w:kern w:val="0"/>
          <w:sz w:val="32"/>
          <w:szCs w:val="32"/>
        </w:rPr>
      </w:pPr>
      <w:r>
        <w:rPr>
          <w:rFonts w:hint="eastAsia" w:ascii="仿宋_GB2312" w:hAnsi="仿宋" w:eastAsia="仿宋_GB2312" w:cs="Arial"/>
          <w:kern w:val="0"/>
          <w:sz w:val="32"/>
          <w:szCs w:val="32"/>
        </w:rPr>
        <w:t>（四）土地整备利益统筹项目被清理出年度计划项目目录的，原已调入的非农建设用地指标视为未调整。因原用地已完善土地征（转）手续或已开发建设而无法落实非农建设用地指标的，相应指标计入非农建设用地台账且今后仅用于城市更新或土地整备利益统筹项目。</w:t>
      </w:r>
    </w:p>
    <w:p>
      <w:pPr>
        <w:pStyle w:val="3"/>
        <w:keepNext w:val="0"/>
        <w:keepLines w:val="0"/>
        <w:spacing w:before="0" w:after="0" w:line="600" w:lineRule="exact"/>
        <w:ind w:left="105" w:leftChars="50" w:firstLine="640" w:firstLineChars="200"/>
        <w:rPr>
          <w:rFonts w:ascii="黑体" w:hAnsi="黑体" w:eastAsia="黑体"/>
          <w:b w:val="0"/>
        </w:rPr>
      </w:pPr>
      <w:r>
        <w:rPr>
          <w:rFonts w:hint="eastAsia" w:ascii="黑体" w:hAnsi="黑体" w:eastAsia="黑体"/>
          <w:b w:val="0"/>
        </w:rPr>
        <w:t>第十四条【调出城市更新和土地整备利益统筹项目】</w:t>
      </w:r>
      <w:r>
        <w:rPr>
          <w:rFonts w:hint="eastAsia" w:ascii="仿宋_GB2312" w:hAnsi="仿宋" w:eastAsia="仿宋_GB2312" w:cs="Arial"/>
          <w:b w:val="0"/>
          <w:kern w:val="0"/>
        </w:rPr>
        <w:t>城市更新、土地整备利益统筹项目范围内的已划定非农建设用地优先在项目内统筹实施。原地确实无法实施的，有以下情形可申请将非农建设用地指标调出：</w:t>
      </w:r>
    </w:p>
    <w:p>
      <w:pPr>
        <w:spacing w:line="600" w:lineRule="exact"/>
        <w:ind w:left="237" w:leftChars="113" w:firstLine="480" w:firstLineChars="150"/>
        <w:rPr>
          <w:rFonts w:ascii="仿宋_GB2312" w:hAnsi="仿宋" w:eastAsia="仿宋_GB2312" w:cs="Arial"/>
          <w:kern w:val="0"/>
          <w:sz w:val="32"/>
          <w:szCs w:val="32"/>
        </w:rPr>
      </w:pPr>
      <w:r>
        <w:rPr>
          <w:rFonts w:hint="eastAsia" w:ascii="仿宋_GB2312" w:hAnsi="仿宋" w:eastAsia="仿宋_GB2312" w:cs="Arial"/>
          <w:kern w:val="0"/>
          <w:sz w:val="32"/>
          <w:szCs w:val="32"/>
        </w:rPr>
        <w:t>（一）已列入计划的城市更新项目，在取得城市更新单元规划批复前，其项目范围内的合法用地面积超过拟出让开发建设用地面积的。</w:t>
      </w:r>
    </w:p>
    <w:p>
      <w:pPr>
        <w:spacing w:line="600" w:lineRule="exact"/>
        <w:ind w:left="237" w:leftChars="113" w:firstLine="480" w:firstLineChars="150"/>
        <w:rPr>
          <w:rFonts w:ascii="仿宋_GB2312" w:hAnsi="仿宋" w:eastAsia="仿宋_GB2312" w:cs="Arial"/>
          <w:kern w:val="0"/>
          <w:sz w:val="32"/>
          <w:szCs w:val="32"/>
        </w:rPr>
      </w:pPr>
      <w:r>
        <w:rPr>
          <w:rFonts w:hint="eastAsia" w:ascii="仿宋_GB2312" w:hAnsi="仿宋" w:eastAsia="仿宋_GB2312" w:cs="Arial"/>
          <w:kern w:val="0"/>
          <w:sz w:val="32"/>
          <w:szCs w:val="32"/>
        </w:rPr>
        <w:t>（二）土地整备利益统筹项目土地信息核准后、实施方案正式上报区政府前，项目范围内已批合法用地无法</w:t>
      </w:r>
      <w:r>
        <w:rPr>
          <w:rFonts w:ascii="仿宋_GB2312" w:hAnsi="仿宋" w:eastAsia="仿宋_GB2312" w:cs="Arial"/>
          <w:kern w:val="0"/>
          <w:sz w:val="32"/>
          <w:szCs w:val="32"/>
        </w:rPr>
        <w:t>安排落实</w:t>
      </w:r>
      <w:r>
        <w:rPr>
          <w:rFonts w:hint="eastAsia" w:ascii="仿宋_GB2312" w:hAnsi="仿宋" w:eastAsia="仿宋_GB2312" w:cs="Arial"/>
          <w:kern w:val="0"/>
          <w:sz w:val="32"/>
          <w:szCs w:val="32"/>
        </w:rPr>
        <w:t>的。</w:t>
      </w:r>
    </w:p>
    <w:p>
      <w:pPr>
        <w:spacing w:line="600" w:lineRule="exact"/>
        <w:ind w:left="237" w:leftChars="113" w:firstLine="480" w:firstLineChars="150"/>
        <w:rPr>
          <w:rFonts w:ascii="仿宋_GB2312" w:hAnsi="仿宋" w:eastAsia="仿宋_GB2312" w:cs="Arial"/>
          <w:kern w:val="0"/>
          <w:sz w:val="32"/>
          <w:szCs w:val="32"/>
        </w:rPr>
      </w:pPr>
      <w:r>
        <w:rPr>
          <w:rFonts w:hint="eastAsia" w:ascii="仿宋_GB2312" w:hAnsi="仿宋" w:eastAsia="仿宋_GB2312" w:cs="Arial"/>
          <w:kern w:val="0"/>
          <w:sz w:val="32"/>
          <w:szCs w:val="32"/>
        </w:rPr>
        <w:t>（三）项目范围内非农建设用地已经原农村集体经济组织继受单位股东（代表）大会表决有其他合作</w:t>
      </w:r>
      <w:r>
        <w:rPr>
          <w:rFonts w:ascii="仿宋_GB2312" w:hAnsi="仿宋" w:eastAsia="仿宋_GB2312" w:cs="Arial"/>
          <w:kern w:val="0"/>
          <w:sz w:val="32"/>
          <w:szCs w:val="32"/>
        </w:rPr>
        <w:t>方案</w:t>
      </w:r>
      <w:r>
        <w:rPr>
          <w:rFonts w:hint="eastAsia" w:ascii="仿宋_GB2312" w:hAnsi="仿宋" w:eastAsia="仿宋_GB2312" w:cs="Arial"/>
          <w:kern w:val="0"/>
          <w:sz w:val="32"/>
          <w:szCs w:val="32"/>
        </w:rPr>
        <w:t>或因土地整备、公共利益、产业发展要求等政府原因原地确实无法实施的。</w:t>
      </w:r>
    </w:p>
    <w:p>
      <w:pPr>
        <w:spacing w:line="600" w:lineRule="exact"/>
        <w:ind w:left="237" w:leftChars="113" w:firstLine="640" w:firstLineChars="200"/>
        <w:rPr>
          <w:rFonts w:hAnsi="黑体"/>
          <w:b/>
          <w:sz w:val="32"/>
        </w:rPr>
      </w:pPr>
      <w:r>
        <w:rPr>
          <w:rFonts w:hint="eastAsia" w:ascii="仿宋_GB2312" w:hAnsi="仿宋" w:eastAsia="仿宋_GB2312" w:cs="Arial"/>
          <w:kern w:val="0"/>
          <w:sz w:val="32"/>
          <w:szCs w:val="32"/>
        </w:rPr>
        <w:t>原农村集体经济组织继受单位申请将项目范围内已划定非农建设用地调出的，原则上用于其他城市更新项目。如其他城市更新项目暂不具备调入条件的或确无其他城市更新项目安排落实的，调出的相应指标可计入非农建设用地台账且仅限用于城市更新或土地整备利益统筹项目，并书面承诺今后不得再以任何理由申请补划或土地补偿。</w:t>
      </w:r>
      <w:bookmarkStart w:id="18" w:name="_Toc16178864"/>
    </w:p>
    <w:p>
      <w:pPr>
        <w:pStyle w:val="2"/>
        <w:keepNext w:val="0"/>
        <w:keepLines w:val="0"/>
        <w:widowControl w:val="0"/>
        <w:numPr>
          <w:ilvl w:val="0"/>
          <w:numId w:val="0"/>
        </w:numPr>
        <w:spacing w:beforeLines="0" w:line="600" w:lineRule="exact"/>
        <w:ind w:left="420" w:firstLine="2560" w:firstLineChars="800"/>
        <w:rPr>
          <w:rFonts w:hAnsi="黑体"/>
          <w:b w:val="0"/>
          <w:sz w:val="32"/>
        </w:rPr>
      </w:pPr>
      <w:r>
        <w:rPr>
          <w:rFonts w:hint="eastAsia" w:hAnsi="黑体"/>
          <w:b w:val="0"/>
          <w:sz w:val="32"/>
        </w:rPr>
        <w:t>第四章 其他管理</w:t>
      </w:r>
      <w:bookmarkEnd w:id="18"/>
    </w:p>
    <w:p>
      <w:pPr>
        <w:spacing w:line="600" w:lineRule="exact"/>
      </w:pPr>
    </w:p>
    <w:p>
      <w:pPr>
        <w:pStyle w:val="3"/>
        <w:keepNext w:val="0"/>
        <w:keepLines w:val="0"/>
        <w:spacing w:before="0" w:after="0" w:line="600" w:lineRule="exact"/>
        <w:ind w:firstLine="640" w:firstLineChars="200"/>
        <w:rPr>
          <w:rFonts w:ascii="仿宋_GB2312" w:hAnsi="仿宋" w:eastAsia="仿宋_GB2312" w:cs="Arial"/>
          <w:b w:val="0"/>
          <w:kern w:val="0"/>
        </w:rPr>
      </w:pPr>
      <w:bookmarkStart w:id="19" w:name="_Toc26371179"/>
      <w:r>
        <w:rPr>
          <w:rFonts w:hint="eastAsia" w:ascii="黑体" w:hAnsi="黑体" w:eastAsia="黑体"/>
          <w:b w:val="0"/>
        </w:rPr>
        <w:t>第十五条【未建房户用地】</w:t>
      </w:r>
      <w:bookmarkEnd w:id="19"/>
      <w:r>
        <w:rPr>
          <w:rFonts w:hint="eastAsia" w:ascii="仿宋_GB2312" w:hAnsi="仿宋" w:eastAsia="仿宋_GB2312" w:cs="Arial"/>
          <w:b w:val="0"/>
          <w:kern w:val="0"/>
        </w:rPr>
        <w:t>在征得未建房户受益人的书面同意并充分保证其住房权益的前提下，非农建设用地的未建房户用地，可以采取一个或多个社区统建方式处理，也可调入已列入计划的城市更新项目统筹处理。</w:t>
      </w:r>
    </w:p>
    <w:p>
      <w:pPr>
        <w:pStyle w:val="3"/>
        <w:keepNext w:val="0"/>
        <w:keepLines w:val="0"/>
        <w:spacing w:before="0" w:after="0" w:line="600" w:lineRule="exact"/>
        <w:ind w:firstLine="640" w:firstLineChars="200"/>
        <w:rPr>
          <w:rFonts w:ascii="仿宋_GB2312" w:hAnsi="仿宋" w:eastAsia="仿宋_GB2312" w:cs="Arial"/>
          <w:b w:val="0"/>
          <w:kern w:val="0"/>
        </w:rPr>
      </w:pPr>
      <w:r>
        <w:rPr>
          <w:rFonts w:hint="eastAsia" w:ascii="仿宋_GB2312" w:hAnsi="仿宋" w:eastAsia="仿宋_GB2312" w:cs="Arial"/>
          <w:b w:val="0"/>
          <w:kern w:val="0"/>
        </w:rPr>
        <w:t>未建房户用地在经90%以上（含90%）的未建房户用地受益人签字确认后，可以办理相关规划、用地手续。辖区街道办事处应协调原行政村集体经济组织继受单位，切实保障全体受益人在未建房户用地开发建设中的合法权益。</w:t>
      </w:r>
    </w:p>
    <w:p>
      <w:pPr>
        <w:pStyle w:val="3"/>
        <w:keepNext w:val="0"/>
        <w:keepLines w:val="0"/>
        <w:spacing w:before="0" w:after="0" w:line="600" w:lineRule="exact"/>
        <w:ind w:firstLine="640" w:firstLineChars="200"/>
        <w:rPr>
          <w:rFonts w:ascii="黑体" w:hAnsi="黑体" w:eastAsia="黑体"/>
          <w:b w:val="0"/>
        </w:rPr>
      </w:pPr>
      <w:bookmarkStart w:id="20" w:name="_Toc26371170"/>
      <w:r>
        <w:rPr>
          <w:rFonts w:hint="eastAsia" w:ascii="黑体" w:hAnsi="黑体" w:eastAsia="黑体"/>
          <w:b w:val="0"/>
        </w:rPr>
        <w:t>第十六条【占用政府已补偿的国有土地】</w:t>
      </w:r>
      <w:bookmarkEnd w:id="20"/>
      <w:r>
        <w:rPr>
          <w:rFonts w:hint="eastAsia" w:ascii="仿宋_GB2312" w:hAnsi="仿宋" w:eastAsia="仿宋_GB2312" w:cs="Arial"/>
          <w:b w:val="0"/>
          <w:kern w:val="0"/>
        </w:rPr>
        <w:t>非农建设用地原则上不得占用政府已补偿国有土地。原已占用或因规划实施、公共服务设施项目建设等需要拟占用政府已补偿国有土地的，按下列规定处理：</w:t>
      </w:r>
    </w:p>
    <w:p>
      <w:pPr>
        <w:spacing w:line="60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（一）原已经市、区政府审批同意占用政府已补偿的国有土地进行开发建设的，原农村集体经济组织继受单位须按照120元/平方米的标准退回所占用国有土地的补偿款。</w:t>
      </w:r>
    </w:p>
    <w:p>
      <w:pPr>
        <w:spacing w:line="60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（二）经区领导小组审批同意占用政府已补偿的国有土地的，原农村集体经济组织继受单位须在原行政村内无偿提供同等面积未完善征转地补偿手续的可建设用地予以置换。         如以调整前地块作为置换地块，但调整前地块属于已完善征转地补偿手续可建设用地的，原农村集体经济组织继受单位退回所占用国有土地补偿款的，可视为未完善征转地补偿手续可建设用地予以置换。</w:t>
      </w:r>
    </w:p>
    <w:p>
      <w:pPr>
        <w:spacing w:line="60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置换用地由原农村集体经济组织继受单位自行拆除地上建筑物、附着物，理顺相应经济关系，并配合完善征转地手续。</w:t>
      </w:r>
    </w:p>
    <w:p>
      <w:pPr>
        <w:pStyle w:val="3"/>
        <w:keepNext w:val="0"/>
        <w:keepLines w:val="0"/>
        <w:spacing w:before="0" w:after="0" w:line="600" w:lineRule="exact"/>
        <w:ind w:firstLine="640" w:firstLineChars="200"/>
        <w:rPr>
          <w:rFonts w:ascii="黑体" w:hAnsi="黑体" w:eastAsia="黑体"/>
          <w:b w:val="0"/>
        </w:rPr>
      </w:pPr>
      <w:bookmarkStart w:id="21" w:name="_Toc26371180"/>
      <w:r>
        <w:rPr>
          <w:rFonts w:hint="eastAsia" w:ascii="黑体" w:hAnsi="黑体" w:eastAsia="黑体"/>
          <w:b w:val="0"/>
        </w:rPr>
        <w:t>第十七条【权利人变更与用地分宗】</w:t>
      </w:r>
      <w:bookmarkEnd w:id="21"/>
      <w:r>
        <w:rPr>
          <w:rFonts w:hint="eastAsia" w:ascii="仿宋_GB2312" w:hAnsi="仿宋" w:eastAsia="仿宋_GB2312" w:cs="Arial"/>
          <w:b w:val="0"/>
          <w:kern w:val="0"/>
        </w:rPr>
        <w:t>原以行政村集体经济组织继受单位名义办理的非农建设用地，如需变更到本原行政村内某原自然村集体经济组织继受单位的，应由原行政村及其所属各原自然村集体经济组织继受单位共同出具明确的书面证明文件，并须取得区集体资产管理局（区国资局）书面同意意见。</w:t>
      </w:r>
    </w:p>
    <w:p>
      <w:pPr>
        <w:spacing w:line="60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对于涉及多个权利主体的非农建设用地,可申请分宗至相应原自然村集体经济组织继受单位名下，分宗方案应有利于土地节约集约利用及用地管理。</w:t>
      </w:r>
    </w:p>
    <w:p>
      <w:pPr>
        <w:pStyle w:val="3"/>
        <w:keepNext w:val="0"/>
        <w:keepLines w:val="0"/>
        <w:spacing w:before="0" w:after="0" w:line="600" w:lineRule="exact"/>
        <w:ind w:firstLine="640" w:firstLineChars="200"/>
        <w:rPr>
          <w:rFonts w:ascii="仿宋_GB2312" w:hAnsi="黑体" w:eastAsia="仿宋_GB2312"/>
          <w:b w:val="0"/>
        </w:rPr>
      </w:pPr>
      <w:r>
        <w:rPr>
          <w:rFonts w:hint="eastAsia" w:ascii="黑体" w:hAnsi="黑体" w:eastAsia="黑体"/>
          <w:b w:val="0"/>
        </w:rPr>
        <w:t>第十八条【已建房屋确权】</w:t>
      </w:r>
      <w:r>
        <w:rPr>
          <w:rFonts w:hint="eastAsia" w:ascii="仿宋_GB2312" w:hAnsi="黑体" w:eastAsia="仿宋_GB2312"/>
          <w:b w:val="0"/>
        </w:rPr>
        <w:t>现状已建成的非农建设用地的房产确权问题，可参照深圳市房地产登记遗留问题或其他有关规定处理。</w:t>
      </w:r>
    </w:p>
    <w:p>
      <w:pPr>
        <w:pStyle w:val="3"/>
        <w:keepNext w:val="0"/>
        <w:keepLines w:val="0"/>
        <w:spacing w:before="0" w:after="0" w:line="600" w:lineRule="exact"/>
        <w:ind w:firstLine="640" w:firstLineChars="200"/>
        <w:rPr>
          <w:rFonts w:ascii="仿宋_GB2312" w:hAnsi="仿宋" w:eastAsia="仿宋_GB2312" w:cs="Arial"/>
          <w:b w:val="0"/>
          <w:kern w:val="0"/>
        </w:rPr>
      </w:pPr>
      <w:r>
        <w:rPr>
          <w:rFonts w:hint="eastAsia" w:ascii="黑体" w:hAnsi="黑体" w:eastAsia="黑体"/>
          <w:b w:val="0"/>
        </w:rPr>
        <w:t>第十九条【部门职责】</w:t>
      </w:r>
      <w:r>
        <w:rPr>
          <w:rFonts w:hint="eastAsia" w:ascii="仿宋_GB2312" w:hAnsi="仿宋" w:eastAsia="仿宋_GB2312" w:cs="Arial"/>
          <w:b w:val="0"/>
          <w:kern w:val="0"/>
        </w:rPr>
        <w:t>非农建设用地调整置换、开发建设过程中，涉及非农建设用地异地调整置换、城市更新、土地整备利益统筹、自拆重建和入市交易等事项，有关方案内容应按市、区集体资产管理的相关规定处理，并须取得区集体资产管理局（区国资局）审查意见。</w:t>
      </w:r>
    </w:p>
    <w:p>
      <w:pPr>
        <w:pStyle w:val="3"/>
        <w:keepNext w:val="0"/>
        <w:keepLines w:val="0"/>
        <w:spacing w:before="0" w:after="0" w:line="600" w:lineRule="exact"/>
        <w:ind w:firstLine="640" w:firstLineChars="200"/>
        <w:rPr>
          <w:rFonts w:ascii="黑体" w:hAnsi="黑体" w:eastAsia="黑体"/>
          <w:b w:val="0"/>
        </w:rPr>
      </w:pPr>
      <w:r>
        <w:rPr>
          <w:rFonts w:hint="eastAsia" w:ascii="仿宋_GB2312" w:hAnsi="仿宋" w:eastAsia="仿宋_GB2312" w:cs="Arial"/>
          <w:b w:val="0"/>
          <w:kern w:val="0"/>
        </w:rPr>
        <w:t>涉及城市更新、土地整备利益统筹项目的，按城市更新、土地整备利益统筹的有关规定处理，并须取得区城市更新和土地整备局的审查意见。</w:t>
      </w:r>
    </w:p>
    <w:p>
      <w:pPr>
        <w:pStyle w:val="3"/>
        <w:keepNext w:val="0"/>
        <w:keepLines w:val="0"/>
        <w:spacing w:before="0" w:after="0" w:line="600" w:lineRule="exact"/>
        <w:ind w:firstLine="640" w:firstLineChars="200"/>
        <w:rPr>
          <w:rFonts w:ascii="仿宋_GB2312" w:hAnsi="仿宋" w:eastAsia="仿宋_GB2312" w:cs="Arial"/>
          <w:b w:val="0"/>
          <w:kern w:val="0"/>
        </w:rPr>
      </w:pPr>
      <w:r>
        <w:rPr>
          <w:rFonts w:hint="eastAsia" w:ascii="黑体" w:hAnsi="黑体" w:eastAsia="黑体"/>
          <w:b w:val="0"/>
        </w:rPr>
        <w:t>第二十条【台账管理】</w:t>
      </w:r>
      <w:r>
        <w:rPr>
          <w:rFonts w:hint="eastAsia" w:ascii="仿宋_GB2312" w:hAnsi="仿宋" w:eastAsia="仿宋_GB2312" w:cs="Arial"/>
          <w:b w:val="0"/>
          <w:kern w:val="0"/>
        </w:rPr>
        <w:t>市规划和自然资源局龙华管理局负责非农建设用地台账管理和指标核销等工作。辖区街道办事处负责指导辖区内原农村集体经济组织继受单位建立台账及辖区内非农建设用地台账的备案、查询等工作。</w:t>
      </w:r>
    </w:p>
    <w:p>
      <w:pPr>
        <w:pStyle w:val="3"/>
        <w:keepNext w:val="0"/>
        <w:keepLines w:val="0"/>
        <w:spacing w:before="0" w:after="0" w:line="600" w:lineRule="exact"/>
        <w:ind w:firstLine="640" w:firstLineChars="200"/>
        <w:rPr>
          <w:rFonts w:ascii="仿宋_GB2312" w:hAnsi="仿宋" w:eastAsia="仿宋_GB2312" w:cs="Arial"/>
          <w:b w:val="0"/>
          <w:kern w:val="0"/>
        </w:rPr>
      </w:pPr>
      <w:r>
        <w:rPr>
          <w:rFonts w:hint="eastAsia" w:ascii="仿宋_GB2312" w:hAnsi="仿宋" w:eastAsia="仿宋_GB2312" w:cs="Arial"/>
          <w:b w:val="0"/>
          <w:kern w:val="0"/>
        </w:rPr>
        <w:t>城市更新项目范围内的非农建设用地，由区城市更新和土地整备局负责收回非农建设用地方案图和批复。城市更新项目范围外调入的非农建设用地，由市规划和自然资源局龙华管理局负责收回非农建设用地方案图和批复。</w:t>
      </w:r>
    </w:p>
    <w:p>
      <w:pPr>
        <w:spacing w:line="60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城市更新拆除项目范围内涉及非农建设用地的，区城市更新和土地整备局应在城市更新项目签订土地使用权出让合同前书面通知市规划和自然资源局龙华管理局核销非农建设用地台账。</w:t>
      </w:r>
      <w:bookmarkStart w:id="22" w:name="_Toc16178870"/>
      <w:r>
        <w:rPr>
          <w:rFonts w:hint="eastAsia" w:ascii="仿宋_GB2312" w:hAnsi="仿宋" w:eastAsia="仿宋_GB2312" w:cs="Arial"/>
          <w:kern w:val="0"/>
          <w:sz w:val="32"/>
          <w:szCs w:val="32"/>
        </w:rPr>
        <w:t>原农村集体经济组织继受单位需提供同意核销非农建设用地的承诺函。</w:t>
      </w:r>
    </w:p>
    <w:p>
      <w:pPr>
        <w:pStyle w:val="2"/>
        <w:keepNext w:val="0"/>
        <w:keepLines w:val="0"/>
        <w:widowControl w:val="0"/>
        <w:numPr>
          <w:ilvl w:val="0"/>
          <w:numId w:val="0"/>
        </w:numPr>
        <w:tabs>
          <w:tab w:val="center" w:pos="4153"/>
          <w:tab w:val="right" w:pos="8306"/>
        </w:tabs>
        <w:snapToGrid w:val="0"/>
        <w:spacing w:beforeLines="0" w:line="600" w:lineRule="exact"/>
        <w:ind w:left="235" w:leftChars="112" w:firstLine="2560" w:firstLineChars="800"/>
        <w:rPr>
          <w:rFonts w:hint="eastAsia" w:hAnsi="黑体"/>
          <w:b w:val="0"/>
          <w:sz w:val="32"/>
        </w:rPr>
      </w:pPr>
      <w:r>
        <w:rPr>
          <w:rFonts w:hint="eastAsia" w:hAnsi="黑体"/>
          <w:b w:val="0"/>
          <w:sz w:val="32"/>
        </w:rPr>
        <w:t>第五章 附则</w:t>
      </w:r>
      <w:bookmarkEnd w:id="22"/>
    </w:p>
    <w:p>
      <w:pPr>
        <w:pStyle w:val="3"/>
        <w:keepNext w:val="0"/>
        <w:keepLines w:val="0"/>
        <w:spacing w:before="0" w:after="0" w:line="600" w:lineRule="exact"/>
        <w:ind w:firstLine="630" w:firstLineChars="300"/>
        <w:rPr>
          <w:rFonts w:hint="eastAsia" w:asciiTheme="minorHAnsi" w:hAnsiTheme="minorHAnsi" w:eastAsiaTheme="minorEastAsia" w:cstheme="minorBidi"/>
          <w:b w:val="0"/>
          <w:bCs w:val="0"/>
          <w:sz w:val="21"/>
          <w:szCs w:val="22"/>
        </w:rPr>
      </w:pPr>
      <w:bookmarkStart w:id="23" w:name="_Toc26371186"/>
    </w:p>
    <w:p>
      <w:pPr>
        <w:pStyle w:val="3"/>
        <w:keepNext w:val="0"/>
        <w:keepLines w:val="0"/>
        <w:spacing w:before="0" w:after="0" w:line="600" w:lineRule="exact"/>
        <w:ind w:firstLine="960" w:firstLineChars="300"/>
        <w:rPr>
          <w:rFonts w:ascii="黑体" w:hAnsi="黑体" w:eastAsia="黑体"/>
          <w:b w:val="0"/>
        </w:rPr>
      </w:pPr>
      <w:r>
        <w:rPr>
          <w:rFonts w:hint="eastAsia" w:ascii="黑体" w:hAnsi="黑体" w:eastAsia="黑体"/>
          <w:b w:val="0"/>
        </w:rPr>
        <w:t>第二十一条【已建及未建用地认定】</w:t>
      </w:r>
      <w:r>
        <w:rPr>
          <w:rFonts w:hint="eastAsia" w:ascii="仿宋_GB2312" w:hAnsi="黑体" w:eastAsia="仿宋_GB2312"/>
          <w:b w:val="0"/>
        </w:rPr>
        <w:t>本办法所指的非农建设用地已建或未建类型认定，以原相关主管部门已核发的非农建设用地方案图上标注为准。</w:t>
      </w:r>
    </w:p>
    <w:p>
      <w:pPr>
        <w:pStyle w:val="3"/>
        <w:keepNext w:val="0"/>
        <w:keepLines w:val="0"/>
        <w:spacing w:before="0" w:after="0" w:line="600" w:lineRule="exact"/>
        <w:ind w:firstLine="640" w:firstLineChars="200"/>
        <w:rPr>
          <w:rFonts w:ascii="仿宋_GB2312" w:hAnsi="黑体" w:eastAsia="仿宋_GB2312"/>
          <w:b w:val="0"/>
        </w:rPr>
      </w:pPr>
      <w:r>
        <w:rPr>
          <w:rFonts w:hint="eastAsia" w:ascii="仿宋_GB2312" w:hAnsi="黑体" w:eastAsia="仿宋_GB2312"/>
          <w:b w:val="0"/>
        </w:rPr>
        <w:t>涉及非农建设用地指标的落实、非农建设用地异地调整，落地地块已建或未建由辖区街道办事处依据办理时地块现状情况负责认定。</w:t>
      </w:r>
    </w:p>
    <w:p>
      <w:pPr>
        <w:pStyle w:val="3"/>
        <w:keepNext w:val="0"/>
        <w:keepLines w:val="0"/>
        <w:spacing w:before="0" w:after="0" w:line="600" w:lineRule="exact"/>
        <w:ind w:firstLine="960" w:firstLineChars="300"/>
        <w:rPr>
          <w:rFonts w:ascii="黑体" w:hAnsi="黑体" w:eastAsia="黑体"/>
          <w:b w:val="0"/>
        </w:rPr>
      </w:pPr>
      <w:r>
        <w:rPr>
          <w:rFonts w:hint="eastAsia" w:ascii="黑体" w:hAnsi="黑体" w:eastAsia="黑体"/>
          <w:b w:val="0"/>
        </w:rPr>
        <w:t>第二十二条【名词解释】</w:t>
      </w:r>
      <w:bookmarkEnd w:id="23"/>
      <w:r>
        <w:rPr>
          <w:rFonts w:hint="eastAsia" w:ascii="仿宋_GB2312" w:hAnsi="仿宋" w:eastAsia="仿宋_GB2312" w:cs="Arial"/>
          <w:b w:val="0"/>
          <w:kern w:val="0"/>
        </w:rPr>
        <w:t>本办法所述的“原行政村辖区范围”是指《中共深圳市委、深圳市人民政府关于加快宝安龙岗两区城市化进程的意见》（深发〔2003〕15号）确定的原行政村集体经济组织辖区范围。</w:t>
      </w:r>
    </w:p>
    <w:p>
      <w:pPr>
        <w:snapToGrid w:val="0"/>
        <w:spacing w:line="60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本办法所述“辖区街道办事处”是指深民函[2015]506号文划分的龙华区街道行政区划范围。</w:t>
      </w:r>
    </w:p>
    <w:p>
      <w:pPr>
        <w:pStyle w:val="3"/>
        <w:keepNext w:val="0"/>
        <w:keepLines w:val="0"/>
        <w:snapToGrid w:val="0"/>
        <w:spacing w:before="0" w:after="0" w:line="600" w:lineRule="exact"/>
        <w:ind w:firstLine="640" w:firstLineChars="200"/>
        <w:rPr>
          <w:rFonts w:ascii="仿宋_GB2312" w:hAnsi="仿宋" w:eastAsia="仿宋_GB2312" w:cs="Arial"/>
          <w:b w:val="0"/>
          <w:kern w:val="0"/>
        </w:rPr>
      </w:pPr>
      <w:r>
        <w:rPr>
          <w:rFonts w:hint="eastAsia" w:ascii="黑体" w:hAnsi="黑体" w:eastAsia="黑体"/>
          <w:b w:val="0"/>
        </w:rPr>
        <w:t>第二十三条【责任追究】</w:t>
      </w:r>
      <w:r>
        <w:rPr>
          <w:rFonts w:hint="eastAsia" w:ascii="仿宋_GB2312" w:hAnsi="仿宋" w:eastAsia="仿宋_GB2312" w:cs="Arial"/>
          <w:b w:val="0"/>
          <w:kern w:val="0"/>
        </w:rPr>
        <w:t>国家机关工作人员和原农村集体经济组织继受单位有关人员徇私舞弊、玩忽职守、滥用职权的，由所在单位及上级主管部门依法追究责任。构成犯罪的，依法追究刑事责任。</w:t>
      </w:r>
      <w:bookmarkStart w:id="24" w:name="_Toc26371188"/>
    </w:p>
    <w:p>
      <w:pPr>
        <w:pStyle w:val="3"/>
        <w:keepNext w:val="0"/>
        <w:keepLines w:val="0"/>
        <w:snapToGrid w:val="0"/>
        <w:spacing w:before="0" w:after="0" w:line="600" w:lineRule="exact"/>
        <w:ind w:firstLine="640" w:firstLineChars="200"/>
        <w:rPr>
          <w:rFonts w:ascii="仿宋_GB2312" w:hAnsi="仿宋" w:eastAsia="仿宋_GB2312" w:cs="Arial"/>
          <w:b w:val="0"/>
          <w:kern w:val="0"/>
        </w:rPr>
      </w:pPr>
      <w:r>
        <w:rPr>
          <w:rFonts w:hint="eastAsia" w:ascii="黑体" w:hAnsi="黑体" w:eastAsia="黑体"/>
          <w:b w:val="0"/>
        </w:rPr>
        <w:t>第二十四条【解释机构】</w:t>
      </w:r>
      <w:r>
        <w:rPr>
          <w:rFonts w:hint="eastAsia" w:ascii="仿宋_GB2312" w:hAnsi="仿宋" w:eastAsia="仿宋_GB2312" w:cs="Arial"/>
          <w:b w:val="0"/>
          <w:kern w:val="0"/>
        </w:rPr>
        <w:t>本办法由市规划和自然资源局龙华管理局负责解释。</w:t>
      </w:r>
    </w:p>
    <w:p>
      <w:pPr>
        <w:pStyle w:val="3"/>
        <w:keepNext w:val="0"/>
        <w:keepLines w:val="0"/>
        <w:snapToGrid w:val="0"/>
        <w:spacing w:before="0" w:after="0" w:line="600" w:lineRule="exact"/>
        <w:ind w:firstLine="640" w:firstLineChars="200"/>
        <w:rPr>
          <w:rFonts w:ascii="黑体" w:hAnsi="黑体" w:eastAsia="黑体"/>
          <w:b w:val="0"/>
        </w:rPr>
      </w:pPr>
      <w:r>
        <w:rPr>
          <w:rFonts w:hint="eastAsia" w:ascii="黑体" w:hAnsi="黑体" w:eastAsia="黑体"/>
          <w:b w:val="0"/>
        </w:rPr>
        <w:t>第二十五条</w:t>
      </w:r>
      <w:bookmarkEnd w:id="24"/>
      <w:r>
        <w:rPr>
          <w:rFonts w:hint="eastAsia" w:ascii="黑体" w:hAnsi="黑体" w:eastAsia="黑体"/>
          <w:b w:val="0"/>
        </w:rPr>
        <w:t>【时效性规定】</w:t>
      </w:r>
      <w:r>
        <w:rPr>
          <w:rFonts w:hint="eastAsia" w:ascii="仿宋_GB2312" w:hAnsi="仿宋" w:eastAsia="仿宋_GB2312" w:cs="Arial"/>
          <w:b w:val="0"/>
          <w:kern w:val="0"/>
        </w:rPr>
        <w:t>本办法自发布之日起实施，有效期为</w:t>
      </w:r>
      <w:r>
        <w:rPr>
          <w:rFonts w:ascii="仿宋_GB2312" w:hAnsi="仿宋" w:eastAsia="仿宋_GB2312" w:cs="Arial"/>
          <w:b w:val="0"/>
          <w:kern w:val="0"/>
        </w:rPr>
        <w:t>5</w:t>
      </w:r>
      <w:r>
        <w:rPr>
          <w:rFonts w:hint="eastAsia" w:ascii="仿宋_GB2312" w:hAnsi="仿宋" w:eastAsia="仿宋_GB2312" w:cs="Arial"/>
          <w:b w:val="0"/>
          <w:kern w:val="0"/>
        </w:rPr>
        <w:t>年。本办法实施之前，非农建设用地相关办理事项已由市规划和自然资源局龙华管理局受理的，按原办法相关规定处理。</w:t>
      </w:r>
    </w:p>
    <w:p>
      <w:pPr>
        <w:pStyle w:val="3"/>
        <w:keepNext w:val="0"/>
        <w:keepLines w:val="0"/>
        <w:snapToGrid w:val="0"/>
        <w:spacing w:before="0" w:after="0" w:line="600" w:lineRule="exact"/>
        <w:ind w:firstLine="640" w:firstLineChars="200"/>
        <w:rPr>
          <w:rFonts w:ascii="黑体" w:hAnsi="黑体" w:eastAsia="黑体"/>
          <w:b w:val="0"/>
        </w:rPr>
      </w:pPr>
    </w:p>
    <w:sectPr>
      <w:footerReference r:id="rId4" w:type="default"/>
      <w:type w:val="continuous"/>
      <w:pgSz w:w="11906" w:h="16838"/>
      <w:pgMar w:top="1440" w:right="1800" w:bottom="1440" w:left="1800" w:header="283" w:footer="283"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8952481"/>
    </w:sdtPr>
    <w:sdtContent>
      <w:p>
        <w:pPr>
          <w:pStyle w:val="8"/>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6171788"/>
    </w:sdtPr>
    <w:sdtContent>
      <w:p>
        <w:pPr>
          <w:pStyle w:val="8"/>
          <w:jc w:val="center"/>
        </w:pPr>
        <w:r>
          <w:fldChar w:fldCharType="begin"/>
        </w:r>
        <w:r>
          <w:instrText xml:space="preserve">PAGE   \* MERGEFORMAT</w:instrText>
        </w:r>
        <w:r>
          <w:fldChar w:fldCharType="separate"/>
        </w:r>
        <w:r>
          <w:rPr>
            <w:lang w:val="zh-CN"/>
          </w:rPr>
          <w:t>13</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F36F8"/>
    <w:multiLevelType w:val="multilevel"/>
    <w:tmpl w:val="55BF36F8"/>
    <w:lvl w:ilvl="0" w:tentative="0">
      <w:start w:val="1"/>
      <w:numFmt w:val="japaneseCounting"/>
      <w:lvlText w:val="第%1章"/>
      <w:lvlJc w:val="left"/>
      <w:pPr>
        <w:ind w:left="4425" w:hanging="1125"/>
      </w:pPr>
      <w:rPr>
        <w:rFonts w:hint="default"/>
      </w:rPr>
    </w:lvl>
    <w:lvl w:ilvl="1" w:tentative="0">
      <w:start w:val="1"/>
      <w:numFmt w:val="lowerLetter"/>
      <w:lvlText w:val="%2)"/>
      <w:lvlJc w:val="left"/>
      <w:pPr>
        <w:ind w:left="4140" w:hanging="420"/>
      </w:pPr>
    </w:lvl>
    <w:lvl w:ilvl="2" w:tentative="0">
      <w:start w:val="1"/>
      <w:numFmt w:val="lowerRoman"/>
      <w:lvlText w:val="%3."/>
      <w:lvlJc w:val="right"/>
      <w:pPr>
        <w:ind w:left="4560" w:hanging="420"/>
      </w:pPr>
    </w:lvl>
    <w:lvl w:ilvl="3" w:tentative="0">
      <w:start w:val="1"/>
      <w:numFmt w:val="decimal"/>
      <w:lvlText w:val="%4."/>
      <w:lvlJc w:val="left"/>
      <w:pPr>
        <w:ind w:left="4980" w:hanging="420"/>
      </w:pPr>
    </w:lvl>
    <w:lvl w:ilvl="4" w:tentative="0">
      <w:start w:val="1"/>
      <w:numFmt w:val="lowerLetter"/>
      <w:lvlText w:val="%5)"/>
      <w:lvlJc w:val="left"/>
      <w:pPr>
        <w:ind w:left="5400" w:hanging="420"/>
      </w:pPr>
    </w:lvl>
    <w:lvl w:ilvl="5" w:tentative="0">
      <w:start w:val="1"/>
      <w:numFmt w:val="lowerRoman"/>
      <w:lvlText w:val="%6."/>
      <w:lvlJc w:val="right"/>
      <w:pPr>
        <w:ind w:left="5820" w:hanging="420"/>
      </w:pPr>
    </w:lvl>
    <w:lvl w:ilvl="6" w:tentative="0">
      <w:start w:val="1"/>
      <w:numFmt w:val="decimal"/>
      <w:lvlText w:val="%7."/>
      <w:lvlJc w:val="left"/>
      <w:pPr>
        <w:ind w:left="6240" w:hanging="420"/>
      </w:pPr>
    </w:lvl>
    <w:lvl w:ilvl="7" w:tentative="0">
      <w:start w:val="1"/>
      <w:numFmt w:val="lowerLetter"/>
      <w:lvlText w:val="%8)"/>
      <w:lvlJc w:val="left"/>
      <w:pPr>
        <w:ind w:left="6660" w:hanging="420"/>
      </w:pPr>
    </w:lvl>
    <w:lvl w:ilvl="8" w:tentative="0">
      <w:start w:val="1"/>
      <w:numFmt w:val="lowerRoman"/>
      <w:lvlText w:val="%9."/>
      <w:lvlJc w:val="right"/>
      <w:pPr>
        <w:ind w:left="7080" w:hanging="420"/>
      </w:pPr>
    </w:lvl>
  </w:abstractNum>
  <w:abstractNum w:abstractNumId="1">
    <w:nsid w:val="72BF6C7B"/>
    <w:multiLevelType w:val="multilevel"/>
    <w:tmpl w:val="72BF6C7B"/>
    <w:lvl w:ilvl="0" w:tentative="0">
      <w:start w:val="1"/>
      <w:numFmt w:val="chineseCountingThousand"/>
      <w:pStyle w:val="2"/>
      <w:lvlText w:val="    第%1条 "/>
      <w:lvlJc w:val="left"/>
      <w:pPr>
        <w:ind w:left="420" w:hanging="420"/>
      </w:pPr>
      <w:rPr>
        <w:rFonts w:hint="eastAsia" w:ascii="黑体" w:hAnsi="黑体" w:eastAsia="黑体"/>
        <w:b/>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12056"/>
    <w:rsid w:val="000006D2"/>
    <w:rsid w:val="00000CC1"/>
    <w:rsid w:val="00003A56"/>
    <w:rsid w:val="00004EC7"/>
    <w:rsid w:val="00010CC7"/>
    <w:rsid w:val="000110DE"/>
    <w:rsid w:val="000117E0"/>
    <w:rsid w:val="00011835"/>
    <w:rsid w:val="00012056"/>
    <w:rsid w:val="000121CA"/>
    <w:rsid w:val="0001275A"/>
    <w:rsid w:val="00012F84"/>
    <w:rsid w:val="00013556"/>
    <w:rsid w:val="00015D66"/>
    <w:rsid w:val="00016543"/>
    <w:rsid w:val="00016B34"/>
    <w:rsid w:val="00021D09"/>
    <w:rsid w:val="000223F2"/>
    <w:rsid w:val="00023CB5"/>
    <w:rsid w:val="00023D4D"/>
    <w:rsid w:val="000241D3"/>
    <w:rsid w:val="00024ABB"/>
    <w:rsid w:val="00024F0D"/>
    <w:rsid w:val="00025423"/>
    <w:rsid w:val="0002595C"/>
    <w:rsid w:val="00026609"/>
    <w:rsid w:val="000271CE"/>
    <w:rsid w:val="0002790E"/>
    <w:rsid w:val="000307AB"/>
    <w:rsid w:val="00030FE3"/>
    <w:rsid w:val="000320A8"/>
    <w:rsid w:val="00032715"/>
    <w:rsid w:val="00034DCE"/>
    <w:rsid w:val="00034DEF"/>
    <w:rsid w:val="00035A51"/>
    <w:rsid w:val="00035D6E"/>
    <w:rsid w:val="000360B7"/>
    <w:rsid w:val="00036582"/>
    <w:rsid w:val="0003710C"/>
    <w:rsid w:val="0003755C"/>
    <w:rsid w:val="0003796D"/>
    <w:rsid w:val="00041AF2"/>
    <w:rsid w:val="00042983"/>
    <w:rsid w:val="00042AAB"/>
    <w:rsid w:val="00043858"/>
    <w:rsid w:val="00044897"/>
    <w:rsid w:val="000505B3"/>
    <w:rsid w:val="00051E51"/>
    <w:rsid w:val="00051F69"/>
    <w:rsid w:val="0005340C"/>
    <w:rsid w:val="00055B98"/>
    <w:rsid w:val="0005626F"/>
    <w:rsid w:val="00056683"/>
    <w:rsid w:val="00056803"/>
    <w:rsid w:val="00056BCD"/>
    <w:rsid w:val="00057A91"/>
    <w:rsid w:val="00057E7B"/>
    <w:rsid w:val="000603D1"/>
    <w:rsid w:val="0006227E"/>
    <w:rsid w:val="00062B36"/>
    <w:rsid w:val="00063DF6"/>
    <w:rsid w:val="00064072"/>
    <w:rsid w:val="00065C67"/>
    <w:rsid w:val="00065ECE"/>
    <w:rsid w:val="00066727"/>
    <w:rsid w:val="00066DF1"/>
    <w:rsid w:val="00067159"/>
    <w:rsid w:val="000679AD"/>
    <w:rsid w:val="00070713"/>
    <w:rsid w:val="000711AB"/>
    <w:rsid w:val="00071B26"/>
    <w:rsid w:val="00072D8D"/>
    <w:rsid w:val="0007312B"/>
    <w:rsid w:val="000737AD"/>
    <w:rsid w:val="00074201"/>
    <w:rsid w:val="00075DB4"/>
    <w:rsid w:val="0007630D"/>
    <w:rsid w:val="0008000B"/>
    <w:rsid w:val="00080B8B"/>
    <w:rsid w:val="0008508C"/>
    <w:rsid w:val="0008579C"/>
    <w:rsid w:val="000864E5"/>
    <w:rsid w:val="00086B78"/>
    <w:rsid w:val="00086C32"/>
    <w:rsid w:val="00087D1C"/>
    <w:rsid w:val="00087D56"/>
    <w:rsid w:val="0009174A"/>
    <w:rsid w:val="000920A8"/>
    <w:rsid w:val="000920D0"/>
    <w:rsid w:val="0009231D"/>
    <w:rsid w:val="00092629"/>
    <w:rsid w:val="00095AF7"/>
    <w:rsid w:val="00095C8E"/>
    <w:rsid w:val="00095E30"/>
    <w:rsid w:val="00095E7E"/>
    <w:rsid w:val="00095F61"/>
    <w:rsid w:val="00096611"/>
    <w:rsid w:val="00096F6E"/>
    <w:rsid w:val="00097172"/>
    <w:rsid w:val="000971F2"/>
    <w:rsid w:val="000A0694"/>
    <w:rsid w:val="000A1B63"/>
    <w:rsid w:val="000A259B"/>
    <w:rsid w:val="000A292B"/>
    <w:rsid w:val="000A2944"/>
    <w:rsid w:val="000A399A"/>
    <w:rsid w:val="000A465F"/>
    <w:rsid w:val="000A4972"/>
    <w:rsid w:val="000A6717"/>
    <w:rsid w:val="000A6F86"/>
    <w:rsid w:val="000A7D9C"/>
    <w:rsid w:val="000B0A15"/>
    <w:rsid w:val="000B0CC9"/>
    <w:rsid w:val="000B0F4C"/>
    <w:rsid w:val="000B1128"/>
    <w:rsid w:val="000B1D6C"/>
    <w:rsid w:val="000B1DD8"/>
    <w:rsid w:val="000B2630"/>
    <w:rsid w:val="000B34B2"/>
    <w:rsid w:val="000B388C"/>
    <w:rsid w:val="000B5270"/>
    <w:rsid w:val="000B680A"/>
    <w:rsid w:val="000B684D"/>
    <w:rsid w:val="000B710D"/>
    <w:rsid w:val="000B72BE"/>
    <w:rsid w:val="000C0750"/>
    <w:rsid w:val="000C2D88"/>
    <w:rsid w:val="000C4155"/>
    <w:rsid w:val="000C4423"/>
    <w:rsid w:val="000C4FF3"/>
    <w:rsid w:val="000C533A"/>
    <w:rsid w:val="000C64F3"/>
    <w:rsid w:val="000D00D1"/>
    <w:rsid w:val="000D1464"/>
    <w:rsid w:val="000D1A36"/>
    <w:rsid w:val="000D2036"/>
    <w:rsid w:val="000D2A45"/>
    <w:rsid w:val="000D33E4"/>
    <w:rsid w:val="000D4205"/>
    <w:rsid w:val="000D6127"/>
    <w:rsid w:val="000D66B3"/>
    <w:rsid w:val="000D7417"/>
    <w:rsid w:val="000D7BB7"/>
    <w:rsid w:val="000E0020"/>
    <w:rsid w:val="000E23CD"/>
    <w:rsid w:val="000E23E4"/>
    <w:rsid w:val="000E25A1"/>
    <w:rsid w:val="000E29A6"/>
    <w:rsid w:val="000E3C62"/>
    <w:rsid w:val="000E4248"/>
    <w:rsid w:val="000E46BF"/>
    <w:rsid w:val="000E4A67"/>
    <w:rsid w:val="000E4B10"/>
    <w:rsid w:val="000E4CE2"/>
    <w:rsid w:val="000E51CC"/>
    <w:rsid w:val="000E5291"/>
    <w:rsid w:val="000E5A88"/>
    <w:rsid w:val="000E5D82"/>
    <w:rsid w:val="000E6779"/>
    <w:rsid w:val="000E6E19"/>
    <w:rsid w:val="000E6F13"/>
    <w:rsid w:val="000E7112"/>
    <w:rsid w:val="000E7B09"/>
    <w:rsid w:val="000F03ED"/>
    <w:rsid w:val="000F0D2F"/>
    <w:rsid w:val="000F0FB9"/>
    <w:rsid w:val="000F3677"/>
    <w:rsid w:val="000F388E"/>
    <w:rsid w:val="000F4119"/>
    <w:rsid w:val="000F52B6"/>
    <w:rsid w:val="000F5432"/>
    <w:rsid w:val="000F5D77"/>
    <w:rsid w:val="000F5E4E"/>
    <w:rsid w:val="000F706B"/>
    <w:rsid w:val="000F7249"/>
    <w:rsid w:val="0010205F"/>
    <w:rsid w:val="001025CB"/>
    <w:rsid w:val="0010288B"/>
    <w:rsid w:val="00103777"/>
    <w:rsid w:val="00103DC2"/>
    <w:rsid w:val="00103F64"/>
    <w:rsid w:val="00104897"/>
    <w:rsid w:val="00104FB9"/>
    <w:rsid w:val="00106762"/>
    <w:rsid w:val="0010702A"/>
    <w:rsid w:val="001074D2"/>
    <w:rsid w:val="001102A5"/>
    <w:rsid w:val="00110EE6"/>
    <w:rsid w:val="0011180F"/>
    <w:rsid w:val="00111E99"/>
    <w:rsid w:val="00112082"/>
    <w:rsid w:val="00112432"/>
    <w:rsid w:val="00112F21"/>
    <w:rsid w:val="00113687"/>
    <w:rsid w:val="00120989"/>
    <w:rsid w:val="001213D8"/>
    <w:rsid w:val="0012195B"/>
    <w:rsid w:val="00122193"/>
    <w:rsid w:val="00122245"/>
    <w:rsid w:val="001233A3"/>
    <w:rsid w:val="00123F0F"/>
    <w:rsid w:val="00124D31"/>
    <w:rsid w:val="00126A14"/>
    <w:rsid w:val="00131711"/>
    <w:rsid w:val="00131899"/>
    <w:rsid w:val="00132281"/>
    <w:rsid w:val="00133036"/>
    <w:rsid w:val="00133607"/>
    <w:rsid w:val="00134CFD"/>
    <w:rsid w:val="00135044"/>
    <w:rsid w:val="00135236"/>
    <w:rsid w:val="001357EC"/>
    <w:rsid w:val="001362BC"/>
    <w:rsid w:val="0013639D"/>
    <w:rsid w:val="001363DB"/>
    <w:rsid w:val="00137C6F"/>
    <w:rsid w:val="0014045A"/>
    <w:rsid w:val="00140B78"/>
    <w:rsid w:val="0014285A"/>
    <w:rsid w:val="001434B9"/>
    <w:rsid w:val="00143922"/>
    <w:rsid w:val="00144071"/>
    <w:rsid w:val="00145BDC"/>
    <w:rsid w:val="00146303"/>
    <w:rsid w:val="001475CE"/>
    <w:rsid w:val="001509FD"/>
    <w:rsid w:val="00150F2D"/>
    <w:rsid w:val="00152A7E"/>
    <w:rsid w:val="00153938"/>
    <w:rsid w:val="00154842"/>
    <w:rsid w:val="0015550F"/>
    <w:rsid w:val="00156169"/>
    <w:rsid w:val="00156F67"/>
    <w:rsid w:val="00161ECE"/>
    <w:rsid w:val="001632D4"/>
    <w:rsid w:val="001645FD"/>
    <w:rsid w:val="00164735"/>
    <w:rsid w:val="00164DB4"/>
    <w:rsid w:val="001701E9"/>
    <w:rsid w:val="001715B8"/>
    <w:rsid w:val="00171731"/>
    <w:rsid w:val="001725E4"/>
    <w:rsid w:val="0017260C"/>
    <w:rsid w:val="00172BAC"/>
    <w:rsid w:val="00173182"/>
    <w:rsid w:val="00173254"/>
    <w:rsid w:val="00173790"/>
    <w:rsid w:val="0017441C"/>
    <w:rsid w:val="00174720"/>
    <w:rsid w:val="001756D2"/>
    <w:rsid w:val="0017586F"/>
    <w:rsid w:val="00175B02"/>
    <w:rsid w:val="001762B1"/>
    <w:rsid w:val="00177786"/>
    <w:rsid w:val="001809DD"/>
    <w:rsid w:val="00180A21"/>
    <w:rsid w:val="00180E6F"/>
    <w:rsid w:val="00183894"/>
    <w:rsid w:val="00183A0F"/>
    <w:rsid w:val="00184CAA"/>
    <w:rsid w:val="001861DE"/>
    <w:rsid w:val="00186A47"/>
    <w:rsid w:val="0019069A"/>
    <w:rsid w:val="001914E5"/>
    <w:rsid w:val="0019170F"/>
    <w:rsid w:val="0019215C"/>
    <w:rsid w:val="001925C4"/>
    <w:rsid w:val="00196D29"/>
    <w:rsid w:val="00197207"/>
    <w:rsid w:val="001A0E90"/>
    <w:rsid w:val="001A2380"/>
    <w:rsid w:val="001A2BB8"/>
    <w:rsid w:val="001A3D78"/>
    <w:rsid w:val="001A4562"/>
    <w:rsid w:val="001A65D1"/>
    <w:rsid w:val="001A7359"/>
    <w:rsid w:val="001A797C"/>
    <w:rsid w:val="001B0745"/>
    <w:rsid w:val="001B1949"/>
    <w:rsid w:val="001B2442"/>
    <w:rsid w:val="001B24B5"/>
    <w:rsid w:val="001B2AA2"/>
    <w:rsid w:val="001B2D97"/>
    <w:rsid w:val="001B4CB9"/>
    <w:rsid w:val="001B4E3D"/>
    <w:rsid w:val="001B5471"/>
    <w:rsid w:val="001B65E2"/>
    <w:rsid w:val="001B7AB3"/>
    <w:rsid w:val="001C1288"/>
    <w:rsid w:val="001C149E"/>
    <w:rsid w:val="001C20E5"/>
    <w:rsid w:val="001C25F0"/>
    <w:rsid w:val="001C2850"/>
    <w:rsid w:val="001C2BEA"/>
    <w:rsid w:val="001C38C0"/>
    <w:rsid w:val="001C3E7B"/>
    <w:rsid w:val="001C4583"/>
    <w:rsid w:val="001C4747"/>
    <w:rsid w:val="001C4B55"/>
    <w:rsid w:val="001C5BF5"/>
    <w:rsid w:val="001C5D1B"/>
    <w:rsid w:val="001C5D36"/>
    <w:rsid w:val="001C6813"/>
    <w:rsid w:val="001C69FC"/>
    <w:rsid w:val="001C79A2"/>
    <w:rsid w:val="001D0822"/>
    <w:rsid w:val="001D090F"/>
    <w:rsid w:val="001D1F83"/>
    <w:rsid w:val="001D21E7"/>
    <w:rsid w:val="001D2778"/>
    <w:rsid w:val="001D3DA8"/>
    <w:rsid w:val="001D407B"/>
    <w:rsid w:val="001D4B96"/>
    <w:rsid w:val="001D518A"/>
    <w:rsid w:val="001D546F"/>
    <w:rsid w:val="001D54DE"/>
    <w:rsid w:val="001D5C82"/>
    <w:rsid w:val="001D6EDB"/>
    <w:rsid w:val="001D7843"/>
    <w:rsid w:val="001D7CCC"/>
    <w:rsid w:val="001E1415"/>
    <w:rsid w:val="001E15BE"/>
    <w:rsid w:val="001E2084"/>
    <w:rsid w:val="001E30A4"/>
    <w:rsid w:val="001E51C4"/>
    <w:rsid w:val="001E5E71"/>
    <w:rsid w:val="001E5F4D"/>
    <w:rsid w:val="001E6300"/>
    <w:rsid w:val="001E644F"/>
    <w:rsid w:val="001E6C6A"/>
    <w:rsid w:val="001F2722"/>
    <w:rsid w:val="001F29A5"/>
    <w:rsid w:val="001F38DC"/>
    <w:rsid w:val="001F3910"/>
    <w:rsid w:val="001F46A1"/>
    <w:rsid w:val="001F4A82"/>
    <w:rsid w:val="001F61A9"/>
    <w:rsid w:val="001F762C"/>
    <w:rsid w:val="001F7BB3"/>
    <w:rsid w:val="001F7C5C"/>
    <w:rsid w:val="00200FC1"/>
    <w:rsid w:val="002021AD"/>
    <w:rsid w:val="002026F8"/>
    <w:rsid w:val="00203D71"/>
    <w:rsid w:val="00204C3C"/>
    <w:rsid w:val="00206838"/>
    <w:rsid w:val="002101EA"/>
    <w:rsid w:val="0021039F"/>
    <w:rsid w:val="00210FA9"/>
    <w:rsid w:val="00210FD4"/>
    <w:rsid w:val="0021117B"/>
    <w:rsid w:val="002119D1"/>
    <w:rsid w:val="0021355C"/>
    <w:rsid w:val="002136CD"/>
    <w:rsid w:val="002151EE"/>
    <w:rsid w:val="00216963"/>
    <w:rsid w:val="00216DA7"/>
    <w:rsid w:val="00216DC9"/>
    <w:rsid w:val="002225FA"/>
    <w:rsid w:val="00222650"/>
    <w:rsid w:val="002228C4"/>
    <w:rsid w:val="002228CB"/>
    <w:rsid w:val="00223DEF"/>
    <w:rsid w:val="00223E1C"/>
    <w:rsid w:val="00224119"/>
    <w:rsid w:val="00224E2D"/>
    <w:rsid w:val="002254CD"/>
    <w:rsid w:val="00227730"/>
    <w:rsid w:val="002278C4"/>
    <w:rsid w:val="00230361"/>
    <w:rsid w:val="00231716"/>
    <w:rsid w:val="0023229F"/>
    <w:rsid w:val="00232AFC"/>
    <w:rsid w:val="00232F71"/>
    <w:rsid w:val="002346B9"/>
    <w:rsid w:val="00234900"/>
    <w:rsid w:val="00236538"/>
    <w:rsid w:val="00236C05"/>
    <w:rsid w:val="002370D0"/>
    <w:rsid w:val="00241605"/>
    <w:rsid w:val="00242C3C"/>
    <w:rsid w:val="00243583"/>
    <w:rsid w:val="00244212"/>
    <w:rsid w:val="00244298"/>
    <w:rsid w:val="00244805"/>
    <w:rsid w:val="00244A27"/>
    <w:rsid w:val="00247313"/>
    <w:rsid w:val="00250760"/>
    <w:rsid w:val="0025186F"/>
    <w:rsid w:val="00252C01"/>
    <w:rsid w:val="00252C18"/>
    <w:rsid w:val="00252C57"/>
    <w:rsid w:val="00254645"/>
    <w:rsid w:val="0025552C"/>
    <w:rsid w:val="00256C6F"/>
    <w:rsid w:val="0026191F"/>
    <w:rsid w:val="00262598"/>
    <w:rsid w:val="002628AB"/>
    <w:rsid w:val="00262965"/>
    <w:rsid w:val="00262B14"/>
    <w:rsid w:val="0026341C"/>
    <w:rsid w:val="00263CBE"/>
    <w:rsid w:val="00266E16"/>
    <w:rsid w:val="00267EDE"/>
    <w:rsid w:val="002723DF"/>
    <w:rsid w:val="00272B9A"/>
    <w:rsid w:val="00273013"/>
    <w:rsid w:val="00273625"/>
    <w:rsid w:val="00274A16"/>
    <w:rsid w:val="00276596"/>
    <w:rsid w:val="002765BE"/>
    <w:rsid w:val="002767C5"/>
    <w:rsid w:val="00276EB9"/>
    <w:rsid w:val="002779DD"/>
    <w:rsid w:val="00280B18"/>
    <w:rsid w:val="00280CE9"/>
    <w:rsid w:val="002813D7"/>
    <w:rsid w:val="00281C84"/>
    <w:rsid w:val="00281FC0"/>
    <w:rsid w:val="0028210E"/>
    <w:rsid w:val="002827BA"/>
    <w:rsid w:val="00282923"/>
    <w:rsid w:val="00282D3C"/>
    <w:rsid w:val="00282F05"/>
    <w:rsid w:val="00285A20"/>
    <w:rsid w:val="0028728C"/>
    <w:rsid w:val="00287DEC"/>
    <w:rsid w:val="0029167D"/>
    <w:rsid w:val="002917A6"/>
    <w:rsid w:val="0029224D"/>
    <w:rsid w:val="00293E45"/>
    <w:rsid w:val="002946E6"/>
    <w:rsid w:val="00294E1D"/>
    <w:rsid w:val="00295125"/>
    <w:rsid w:val="002959B8"/>
    <w:rsid w:val="002966CF"/>
    <w:rsid w:val="002969CC"/>
    <w:rsid w:val="00297053"/>
    <w:rsid w:val="002970D6"/>
    <w:rsid w:val="00297149"/>
    <w:rsid w:val="002A0D89"/>
    <w:rsid w:val="002A1966"/>
    <w:rsid w:val="002A197A"/>
    <w:rsid w:val="002A1F44"/>
    <w:rsid w:val="002A382D"/>
    <w:rsid w:val="002A39F5"/>
    <w:rsid w:val="002A4124"/>
    <w:rsid w:val="002A4280"/>
    <w:rsid w:val="002A4B1E"/>
    <w:rsid w:val="002A6079"/>
    <w:rsid w:val="002A685E"/>
    <w:rsid w:val="002A6C7F"/>
    <w:rsid w:val="002A7102"/>
    <w:rsid w:val="002B0B5D"/>
    <w:rsid w:val="002B0ED4"/>
    <w:rsid w:val="002B23F8"/>
    <w:rsid w:val="002B4DBB"/>
    <w:rsid w:val="002B5D52"/>
    <w:rsid w:val="002B6BBF"/>
    <w:rsid w:val="002C167F"/>
    <w:rsid w:val="002C34FF"/>
    <w:rsid w:val="002C37C5"/>
    <w:rsid w:val="002C39B2"/>
    <w:rsid w:val="002C4DFF"/>
    <w:rsid w:val="002C5C86"/>
    <w:rsid w:val="002C7064"/>
    <w:rsid w:val="002C7552"/>
    <w:rsid w:val="002C768A"/>
    <w:rsid w:val="002D11C3"/>
    <w:rsid w:val="002D14D0"/>
    <w:rsid w:val="002D19DE"/>
    <w:rsid w:val="002D1AE9"/>
    <w:rsid w:val="002D1F52"/>
    <w:rsid w:val="002D2AD5"/>
    <w:rsid w:val="002D3395"/>
    <w:rsid w:val="002D3605"/>
    <w:rsid w:val="002D382E"/>
    <w:rsid w:val="002D3D2E"/>
    <w:rsid w:val="002D5305"/>
    <w:rsid w:val="002D601F"/>
    <w:rsid w:val="002D67E2"/>
    <w:rsid w:val="002D7CAF"/>
    <w:rsid w:val="002E02B5"/>
    <w:rsid w:val="002E05EA"/>
    <w:rsid w:val="002E0E27"/>
    <w:rsid w:val="002E11CE"/>
    <w:rsid w:val="002E183C"/>
    <w:rsid w:val="002E28FE"/>
    <w:rsid w:val="002E2BE1"/>
    <w:rsid w:val="002E4CA4"/>
    <w:rsid w:val="002E57A9"/>
    <w:rsid w:val="002E6650"/>
    <w:rsid w:val="002E6DF3"/>
    <w:rsid w:val="002E6FEF"/>
    <w:rsid w:val="002E71CB"/>
    <w:rsid w:val="002E751A"/>
    <w:rsid w:val="002E7B0A"/>
    <w:rsid w:val="002F208E"/>
    <w:rsid w:val="002F24CC"/>
    <w:rsid w:val="002F2A13"/>
    <w:rsid w:val="002F3F05"/>
    <w:rsid w:val="002F47AD"/>
    <w:rsid w:val="002F4A25"/>
    <w:rsid w:val="002F5236"/>
    <w:rsid w:val="002F568B"/>
    <w:rsid w:val="002F636D"/>
    <w:rsid w:val="002F6CB2"/>
    <w:rsid w:val="002F7A33"/>
    <w:rsid w:val="00301C92"/>
    <w:rsid w:val="00302B8A"/>
    <w:rsid w:val="00302C7B"/>
    <w:rsid w:val="00302CE1"/>
    <w:rsid w:val="0030337E"/>
    <w:rsid w:val="003038B7"/>
    <w:rsid w:val="00304994"/>
    <w:rsid w:val="003052A9"/>
    <w:rsid w:val="00305A71"/>
    <w:rsid w:val="00306733"/>
    <w:rsid w:val="0030686E"/>
    <w:rsid w:val="00311B1D"/>
    <w:rsid w:val="003145D9"/>
    <w:rsid w:val="00315B82"/>
    <w:rsid w:val="0032203A"/>
    <w:rsid w:val="003223A0"/>
    <w:rsid w:val="0032244F"/>
    <w:rsid w:val="003228EC"/>
    <w:rsid w:val="00322EF4"/>
    <w:rsid w:val="003241A1"/>
    <w:rsid w:val="00324340"/>
    <w:rsid w:val="003243D6"/>
    <w:rsid w:val="003255A7"/>
    <w:rsid w:val="003264D7"/>
    <w:rsid w:val="00326C32"/>
    <w:rsid w:val="00327E7A"/>
    <w:rsid w:val="00330460"/>
    <w:rsid w:val="003305B5"/>
    <w:rsid w:val="003330CA"/>
    <w:rsid w:val="00333DAF"/>
    <w:rsid w:val="00334D8A"/>
    <w:rsid w:val="00335441"/>
    <w:rsid w:val="003365FE"/>
    <w:rsid w:val="00336E70"/>
    <w:rsid w:val="00337176"/>
    <w:rsid w:val="00337474"/>
    <w:rsid w:val="003400C7"/>
    <w:rsid w:val="00341160"/>
    <w:rsid w:val="003425DA"/>
    <w:rsid w:val="00344066"/>
    <w:rsid w:val="003441B7"/>
    <w:rsid w:val="00344BF0"/>
    <w:rsid w:val="00344D4D"/>
    <w:rsid w:val="0034526E"/>
    <w:rsid w:val="0034551B"/>
    <w:rsid w:val="00345F39"/>
    <w:rsid w:val="00346EC4"/>
    <w:rsid w:val="00350A90"/>
    <w:rsid w:val="00351526"/>
    <w:rsid w:val="00351A24"/>
    <w:rsid w:val="00351EF5"/>
    <w:rsid w:val="00352D5C"/>
    <w:rsid w:val="00354848"/>
    <w:rsid w:val="00354AC6"/>
    <w:rsid w:val="003558F2"/>
    <w:rsid w:val="0035592F"/>
    <w:rsid w:val="00355BE9"/>
    <w:rsid w:val="0035646F"/>
    <w:rsid w:val="00356820"/>
    <w:rsid w:val="00356C43"/>
    <w:rsid w:val="00356D59"/>
    <w:rsid w:val="00357B8C"/>
    <w:rsid w:val="00360C89"/>
    <w:rsid w:val="003610D5"/>
    <w:rsid w:val="00361756"/>
    <w:rsid w:val="00363840"/>
    <w:rsid w:val="00363FE7"/>
    <w:rsid w:val="00364010"/>
    <w:rsid w:val="00365200"/>
    <w:rsid w:val="00365813"/>
    <w:rsid w:val="003658E5"/>
    <w:rsid w:val="00365E28"/>
    <w:rsid w:val="00366B54"/>
    <w:rsid w:val="00366F99"/>
    <w:rsid w:val="003677DF"/>
    <w:rsid w:val="003709CF"/>
    <w:rsid w:val="00370AFD"/>
    <w:rsid w:val="00371C8D"/>
    <w:rsid w:val="00372B78"/>
    <w:rsid w:val="00372D10"/>
    <w:rsid w:val="00372E8B"/>
    <w:rsid w:val="00373DE3"/>
    <w:rsid w:val="00375A3E"/>
    <w:rsid w:val="003761E4"/>
    <w:rsid w:val="0037624C"/>
    <w:rsid w:val="00376C42"/>
    <w:rsid w:val="0037731F"/>
    <w:rsid w:val="00380B0D"/>
    <w:rsid w:val="00380D59"/>
    <w:rsid w:val="003815C5"/>
    <w:rsid w:val="00383A2E"/>
    <w:rsid w:val="0038460D"/>
    <w:rsid w:val="003859EC"/>
    <w:rsid w:val="0038672C"/>
    <w:rsid w:val="00390424"/>
    <w:rsid w:val="00390C9C"/>
    <w:rsid w:val="00391475"/>
    <w:rsid w:val="003926CB"/>
    <w:rsid w:val="003958E2"/>
    <w:rsid w:val="00395B61"/>
    <w:rsid w:val="00396857"/>
    <w:rsid w:val="00396875"/>
    <w:rsid w:val="00397759"/>
    <w:rsid w:val="003A057D"/>
    <w:rsid w:val="003A184E"/>
    <w:rsid w:val="003A23C1"/>
    <w:rsid w:val="003A2C88"/>
    <w:rsid w:val="003A2D75"/>
    <w:rsid w:val="003A398E"/>
    <w:rsid w:val="003A3E44"/>
    <w:rsid w:val="003A470C"/>
    <w:rsid w:val="003A6454"/>
    <w:rsid w:val="003A6A08"/>
    <w:rsid w:val="003A7200"/>
    <w:rsid w:val="003A72EC"/>
    <w:rsid w:val="003A7BC9"/>
    <w:rsid w:val="003A7D89"/>
    <w:rsid w:val="003B013B"/>
    <w:rsid w:val="003B064F"/>
    <w:rsid w:val="003B4447"/>
    <w:rsid w:val="003B61A5"/>
    <w:rsid w:val="003B61EC"/>
    <w:rsid w:val="003C09E6"/>
    <w:rsid w:val="003C1E5F"/>
    <w:rsid w:val="003C426A"/>
    <w:rsid w:val="003C5133"/>
    <w:rsid w:val="003C5979"/>
    <w:rsid w:val="003C59B5"/>
    <w:rsid w:val="003C75E0"/>
    <w:rsid w:val="003D0226"/>
    <w:rsid w:val="003D0F68"/>
    <w:rsid w:val="003D6002"/>
    <w:rsid w:val="003D610F"/>
    <w:rsid w:val="003D640E"/>
    <w:rsid w:val="003D70E0"/>
    <w:rsid w:val="003D7CD1"/>
    <w:rsid w:val="003E00FF"/>
    <w:rsid w:val="003E1C1D"/>
    <w:rsid w:val="003E3A29"/>
    <w:rsid w:val="003E460A"/>
    <w:rsid w:val="003E58FF"/>
    <w:rsid w:val="003E778E"/>
    <w:rsid w:val="003F0552"/>
    <w:rsid w:val="003F0914"/>
    <w:rsid w:val="003F1122"/>
    <w:rsid w:val="003F1692"/>
    <w:rsid w:val="003F32B2"/>
    <w:rsid w:val="003F4356"/>
    <w:rsid w:val="003F7C7C"/>
    <w:rsid w:val="0040096E"/>
    <w:rsid w:val="00401FC1"/>
    <w:rsid w:val="004025CF"/>
    <w:rsid w:val="00402DED"/>
    <w:rsid w:val="004055BF"/>
    <w:rsid w:val="00406B23"/>
    <w:rsid w:val="00407319"/>
    <w:rsid w:val="00407560"/>
    <w:rsid w:val="0041212F"/>
    <w:rsid w:val="00412237"/>
    <w:rsid w:val="0041307A"/>
    <w:rsid w:val="00413ED4"/>
    <w:rsid w:val="00414FB8"/>
    <w:rsid w:val="004156BB"/>
    <w:rsid w:val="004160E6"/>
    <w:rsid w:val="00422711"/>
    <w:rsid w:val="00423DDE"/>
    <w:rsid w:val="00424F8E"/>
    <w:rsid w:val="004250F6"/>
    <w:rsid w:val="004256C8"/>
    <w:rsid w:val="00425C94"/>
    <w:rsid w:val="00425FF5"/>
    <w:rsid w:val="00426077"/>
    <w:rsid w:val="00426569"/>
    <w:rsid w:val="00426C7E"/>
    <w:rsid w:val="00427596"/>
    <w:rsid w:val="00427B6C"/>
    <w:rsid w:val="004300BD"/>
    <w:rsid w:val="004303A7"/>
    <w:rsid w:val="00430556"/>
    <w:rsid w:val="00431AF1"/>
    <w:rsid w:val="00431B83"/>
    <w:rsid w:val="00432083"/>
    <w:rsid w:val="00432D11"/>
    <w:rsid w:val="00433640"/>
    <w:rsid w:val="004357EE"/>
    <w:rsid w:val="00436CEA"/>
    <w:rsid w:val="00436E92"/>
    <w:rsid w:val="00437ED9"/>
    <w:rsid w:val="00440D17"/>
    <w:rsid w:val="004425A8"/>
    <w:rsid w:val="004426CC"/>
    <w:rsid w:val="00443854"/>
    <w:rsid w:val="00444E56"/>
    <w:rsid w:val="004453E1"/>
    <w:rsid w:val="00445440"/>
    <w:rsid w:val="004466E2"/>
    <w:rsid w:val="004470F8"/>
    <w:rsid w:val="00451D76"/>
    <w:rsid w:val="00452F08"/>
    <w:rsid w:val="004548F6"/>
    <w:rsid w:val="00454C48"/>
    <w:rsid w:val="0045504B"/>
    <w:rsid w:val="0045539A"/>
    <w:rsid w:val="00455A4D"/>
    <w:rsid w:val="00456222"/>
    <w:rsid w:val="00457137"/>
    <w:rsid w:val="00460081"/>
    <w:rsid w:val="00460711"/>
    <w:rsid w:val="0046080F"/>
    <w:rsid w:val="0046191A"/>
    <w:rsid w:val="00462C89"/>
    <w:rsid w:val="004633FA"/>
    <w:rsid w:val="00463CBD"/>
    <w:rsid w:val="00465094"/>
    <w:rsid w:val="00466CC5"/>
    <w:rsid w:val="00466F26"/>
    <w:rsid w:val="00466FBB"/>
    <w:rsid w:val="0046749C"/>
    <w:rsid w:val="00470353"/>
    <w:rsid w:val="0047041B"/>
    <w:rsid w:val="00470574"/>
    <w:rsid w:val="00471578"/>
    <w:rsid w:val="00471AF2"/>
    <w:rsid w:val="004721A0"/>
    <w:rsid w:val="00472296"/>
    <w:rsid w:val="00474431"/>
    <w:rsid w:val="004752C6"/>
    <w:rsid w:val="00475D1A"/>
    <w:rsid w:val="004764FD"/>
    <w:rsid w:val="004769E4"/>
    <w:rsid w:val="00476B54"/>
    <w:rsid w:val="00477502"/>
    <w:rsid w:val="00477550"/>
    <w:rsid w:val="00481063"/>
    <w:rsid w:val="004834F1"/>
    <w:rsid w:val="004839C4"/>
    <w:rsid w:val="00483EE9"/>
    <w:rsid w:val="00484917"/>
    <w:rsid w:val="00484C5F"/>
    <w:rsid w:val="004863C8"/>
    <w:rsid w:val="00487412"/>
    <w:rsid w:val="00491689"/>
    <w:rsid w:val="00491EDF"/>
    <w:rsid w:val="00491F03"/>
    <w:rsid w:val="00492863"/>
    <w:rsid w:val="00492D31"/>
    <w:rsid w:val="00493B9C"/>
    <w:rsid w:val="00494373"/>
    <w:rsid w:val="00494AE2"/>
    <w:rsid w:val="00494F91"/>
    <w:rsid w:val="00495133"/>
    <w:rsid w:val="00495D27"/>
    <w:rsid w:val="00496664"/>
    <w:rsid w:val="0049722A"/>
    <w:rsid w:val="004A034A"/>
    <w:rsid w:val="004A1C55"/>
    <w:rsid w:val="004A3971"/>
    <w:rsid w:val="004A3CAC"/>
    <w:rsid w:val="004A461D"/>
    <w:rsid w:val="004A59D0"/>
    <w:rsid w:val="004A6E44"/>
    <w:rsid w:val="004A7E98"/>
    <w:rsid w:val="004B0035"/>
    <w:rsid w:val="004B140F"/>
    <w:rsid w:val="004B1A7C"/>
    <w:rsid w:val="004B2AC6"/>
    <w:rsid w:val="004B3F3A"/>
    <w:rsid w:val="004B4C7C"/>
    <w:rsid w:val="004B5890"/>
    <w:rsid w:val="004B6674"/>
    <w:rsid w:val="004B6CB7"/>
    <w:rsid w:val="004C0061"/>
    <w:rsid w:val="004C1542"/>
    <w:rsid w:val="004C19F1"/>
    <w:rsid w:val="004C272A"/>
    <w:rsid w:val="004C2F16"/>
    <w:rsid w:val="004C607A"/>
    <w:rsid w:val="004C75D5"/>
    <w:rsid w:val="004C777F"/>
    <w:rsid w:val="004D03DB"/>
    <w:rsid w:val="004D118C"/>
    <w:rsid w:val="004D1466"/>
    <w:rsid w:val="004D1C6F"/>
    <w:rsid w:val="004D2396"/>
    <w:rsid w:val="004D2AA1"/>
    <w:rsid w:val="004D537A"/>
    <w:rsid w:val="004D62C5"/>
    <w:rsid w:val="004D66CD"/>
    <w:rsid w:val="004D6AD7"/>
    <w:rsid w:val="004D7C7C"/>
    <w:rsid w:val="004E1275"/>
    <w:rsid w:val="004E252F"/>
    <w:rsid w:val="004E2EBB"/>
    <w:rsid w:val="004E64A2"/>
    <w:rsid w:val="004F070A"/>
    <w:rsid w:val="004F1B72"/>
    <w:rsid w:val="004F1E09"/>
    <w:rsid w:val="004F1EAB"/>
    <w:rsid w:val="004F2223"/>
    <w:rsid w:val="004F38C9"/>
    <w:rsid w:val="004F5C11"/>
    <w:rsid w:val="004F625C"/>
    <w:rsid w:val="004F6757"/>
    <w:rsid w:val="004F679A"/>
    <w:rsid w:val="004F6AD7"/>
    <w:rsid w:val="004F7510"/>
    <w:rsid w:val="004F7C84"/>
    <w:rsid w:val="004F7D1D"/>
    <w:rsid w:val="00500EB5"/>
    <w:rsid w:val="0050131D"/>
    <w:rsid w:val="005019A7"/>
    <w:rsid w:val="00501FB8"/>
    <w:rsid w:val="00502814"/>
    <w:rsid w:val="005032AF"/>
    <w:rsid w:val="00504F8E"/>
    <w:rsid w:val="005052B7"/>
    <w:rsid w:val="005055D7"/>
    <w:rsid w:val="005062F2"/>
    <w:rsid w:val="005064DD"/>
    <w:rsid w:val="0050767B"/>
    <w:rsid w:val="00510556"/>
    <w:rsid w:val="00510742"/>
    <w:rsid w:val="00510A7C"/>
    <w:rsid w:val="00510F60"/>
    <w:rsid w:val="00512E51"/>
    <w:rsid w:val="00513E5D"/>
    <w:rsid w:val="00514603"/>
    <w:rsid w:val="00514AD3"/>
    <w:rsid w:val="0051644F"/>
    <w:rsid w:val="00516CF4"/>
    <w:rsid w:val="005177B5"/>
    <w:rsid w:val="00520076"/>
    <w:rsid w:val="0052034D"/>
    <w:rsid w:val="00521E4A"/>
    <w:rsid w:val="00521F20"/>
    <w:rsid w:val="00522B3F"/>
    <w:rsid w:val="005233BA"/>
    <w:rsid w:val="0052396F"/>
    <w:rsid w:val="00523CBD"/>
    <w:rsid w:val="00523E1D"/>
    <w:rsid w:val="005257DB"/>
    <w:rsid w:val="00530C71"/>
    <w:rsid w:val="00530E9B"/>
    <w:rsid w:val="005310DC"/>
    <w:rsid w:val="00531781"/>
    <w:rsid w:val="0053180A"/>
    <w:rsid w:val="00531CA0"/>
    <w:rsid w:val="0053354C"/>
    <w:rsid w:val="00533E3B"/>
    <w:rsid w:val="00534024"/>
    <w:rsid w:val="005355E1"/>
    <w:rsid w:val="00535863"/>
    <w:rsid w:val="005367F5"/>
    <w:rsid w:val="005369A5"/>
    <w:rsid w:val="00536AE4"/>
    <w:rsid w:val="00540D03"/>
    <w:rsid w:val="00541524"/>
    <w:rsid w:val="00541724"/>
    <w:rsid w:val="00543A00"/>
    <w:rsid w:val="00543B61"/>
    <w:rsid w:val="0054443E"/>
    <w:rsid w:val="00546168"/>
    <w:rsid w:val="0055041A"/>
    <w:rsid w:val="005504D6"/>
    <w:rsid w:val="005506A3"/>
    <w:rsid w:val="00550B31"/>
    <w:rsid w:val="00551288"/>
    <w:rsid w:val="005513E0"/>
    <w:rsid w:val="0055150F"/>
    <w:rsid w:val="005535C9"/>
    <w:rsid w:val="00553DF0"/>
    <w:rsid w:val="005545BB"/>
    <w:rsid w:val="00555B4E"/>
    <w:rsid w:val="00556C0E"/>
    <w:rsid w:val="00557A98"/>
    <w:rsid w:val="005602CD"/>
    <w:rsid w:val="00560A28"/>
    <w:rsid w:val="00561884"/>
    <w:rsid w:val="005632E1"/>
    <w:rsid w:val="005647B1"/>
    <w:rsid w:val="0056590F"/>
    <w:rsid w:val="00566304"/>
    <w:rsid w:val="005665E8"/>
    <w:rsid w:val="005672F3"/>
    <w:rsid w:val="00567460"/>
    <w:rsid w:val="00567C2F"/>
    <w:rsid w:val="00567CD8"/>
    <w:rsid w:val="00570BB6"/>
    <w:rsid w:val="00571524"/>
    <w:rsid w:val="0057292E"/>
    <w:rsid w:val="00573310"/>
    <w:rsid w:val="00574EA2"/>
    <w:rsid w:val="005763BF"/>
    <w:rsid w:val="00577898"/>
    <w:rsid w:val="005812B9"/>
    <w:rsid w:val="00581A92"/>
    <w:rsid w:val="00581ADB"/>
    <w:rsid w:val="00582CA2"/>
    <w:rsid w:val="005852C5"/>
    <w:rsid w:val="00585526"/>
    <w:rsid w:val="00585C62"/>
    <w:rsid w:val="0059013F"/>
    <w:rsid w:val="00590C47"/>
    <w:rsid w:val="00591F41"/>
    <w:rsid w:val="00592C39"/>
    <w:rsid w:val="00592F18"/>
    <w:rsid w:val="005937E3"/>
    <w:rsid w:val="00593C89"/>
    <w:rsid w:val="00593E27"/>
    <w:rsid w:val="00594FE8"/>
    <w:rsid w:val="0059644D"/>
    <w:rsid w:val="00596803"/>
    <w:rsid w:val="005970B9"/>
    <w:rsid w:val="00597909"/>
    <w:rsid w:val="00597D93"/>
    <w:rsid w:val="00597E2F"/>
    <w:rsid w:val="00597F27"/>
    <w:rsid w:val="005A045D"/>
    <w:rsid w:val="005A0774"/>
    <w:rsid w:val="005A0F24"/>
    <w:rsid w:val="005A10A8"/>
    <w:rsid w:val="005A1199"/>
    <w:rsid w:val="005A342E"/>
    <w:rsid w:val="005A4461"/>
    <w:rsid w:val="005A4C97"/>
    <w:rsid w:val="005A4DC7"/>
    <w:rsid w:val="005A59D8"/>
    <w:rsid w:val="005B0765"/>
    <w:rsid w:val="005B181B"/>
    <w:rsid w:val="005B23F7"/>
    <w:rsid w:val="005B344A"/>
    <w:rsid w:val="005B408A"/>
    <w:rsid w:val="005B4E06"/>
    <w:rsid w:val="005B6AF7"/>
    <w:rsid w:val="005B785D"/>
    <w:rsid w:val="005B7862"/>
    <w:rsid w:val="005B7A40"/>
    <w:rsid w:val="005B7C72"/>
    <w:rsid w:val="005C0675"/>
    <w:rsid w:val="005C1DF9"/>
    <w:rsid w:val="005C1E96"/>
    <w:rsid w:val="005C2836"/>
    <w:rsid w:val="005C3483"/>
    <w:rsid w:val="005C4AFA"/>
    <w:rsid w:val="005C54BC"/>
    <w:rsid w:val="005C56C7"/>
    <w:rsid w:val="005C584D"/>
    <w:rsid w:val="005C6B1D"/>
    <w:rsid w:val="005D0A18"/>
    <w:rsid w:val="005D0DDD"/>
    <w:rsid w:val="005D0FBA"/>
    <w:rsid w:val="005D1239"/>
    <w:rsid w:val="005D1F0F"/>
    <w:rsid w:val="005D2FA3"/>
    <w:rsid w:val="005D3420"/>
    <w:rsid w:val="005D4C31"/>
    <w:rsid w:val="005D53E4"/>
    <w:rsid w:val="005D5721"/>
    <w:rsid w:val="005D6729"/>
    <w:rsid w:val="005D6DAE"/>
    <w:rsid w:val="005D7329"/>
    <w:rsid w:val="005D7793"/>
    <w:rsid w:val="005E0DBB"/>
    <w:rsid w:val="005E3107"/>
    <w:rsid w:val="005E3287"/>
    <w:rsid w:val="005E47D5"/>
    <w:rsid w:val="005E6CC0"/>
    <w:rsid w:val="005E7C76"/>
    <w:rsid w:val="005F3BF3"/>
    <w:rsid w:val="005F4713"/>
    <w:rsid w:val="005F4A78"/>
    <w:rsid w:val="005F7186"/>
    <w:rsid w:val="006002B3"/>
    <w:rsid w:val="0060123A"/>
    <w:rsid w:val="006014AA"/>
    <w:rsid w:val="00602559"/>
    <w:rsid w:val="00603D20"/>
    <w:rsid w:val="00605732"/>
    <w:rsid w:val="00605FFB"/>
    <w:rsid w:val="006067CB"/>
    <w:rsid w:val="00606DFE"/>
    <w:rsid w:val="00607278"/>
    <w:rsid w:val="0060734A"/>
    <w:rsid w:val="00610A32"/>
    <w:rsid w:val="00611345"/>
    <w:rsid w:val="00612B44"/>
    <w:rsid w:val="0061336A"/>
    <w:rsid w:val="006145EA"/>
    <w:rsid w:val="00615EAF"/>
    <w:rsid w:val="00616D85"/>
    <w:rsid w:val="00622338"/>
    <w:rsid w:val="006232D9"/>
    <w:rsid w:val="00623578"/>
    <w:rsid w:val="006236A5"/>
    <w:rsid w:val="0062601B"/>
    <w:rsid w:val="00626377"/>
    <w:rsid w:val="0062671C"/>
    <w:rsid w:val="00627BBF"/>
    <w:rsid w:val="00630FBB"/>
    <w:rsid w:val="0063381E"/>
    <w:rsid w:val="00634D07"/>
    <w:rsid w:val="00636DE9"/>
    <w:rsid w:val="00636E2C"/>
    <w:rsid w:val="00636E9A"/>
    <w:rsid w:val="006372C8"/>
    <w:rsid w:val="006377A8"/>
    <w:rsid w:val="006410FF"/>
    <w:rsid w:val="006412D1"/>
    <w:rsid w:val="0064171F"/>
    <w:rsid w:val="00642749"/>
    <w:rsid w:val="006449EE"/>
    <w:rsid w:val="00646027"/>
    <w:rsid w:val="0064651D"/>
    <w:rsid w:val="0064683D"/>
    <w:rsid w:val="00647AF7"/>
    <w:rsid w:val="00650E48"/>
    <w:rsid w:val="006512FF"/>
    <w:rsid w:val="00651685"/>
    <w:rsid w:val="00653EC6"/>
    <w:rsid w:val="006544AD"/>
    <w:rsid w:val="006545DD"/>
    <w:rsid w:val="00654CE4"/>
    <w:rsid w:val="00657133"/>
    <w:rsid w:val="006575EA"/>
    <w:rsid w:val="00657641"/>
    <w:rsid w:val="006579E9"/>
    <w:rsid w:val="00661B9E"/>
    <w:rsid w:val="00663024"/>
    <w:rsid w:val="00663789"/>
    <w:rsid w:val="006639D0"/>
    <w:rsid w:val="00663AFC"/>
    <w:rsid w:val="006640C3"/>
    <w:rsid w:val="00664BC2"/>
    <w:rsid w:val="00664E57"/>
    <w:rsid w:val="00665AEA"/>
    <w:rsid w:val="006666FC"/>
    <w:rsid w:val="00666C18"/>
    <w:rsid w:val="006702E0"/>
    <w:rsid w:val="00671321"/>
    <w:rsid w:val="0067174E"/>
    <w:rsid w:val="00672392"/>
    <w:rsid w:val="00672F6E"/>
    <w:rsid w:val="0067310D"/>
    <w:rsid w:val="006744C5"/>
    <w:rsid w:val="006754CA"/>
    <w:rsid w:val="00675A85"/>
    <w:rsid w:val="00681C3E"/>
    <w:rsid w:val="00682514"/>
    <w:rsid w:val="0068275A"/>
    <w:rsid w:val="00682F4F"/>
    <w:rsid w:val="006833DE"/>
    <w:rsid w:val="006833F2"/>
    <w:rsid w:val="00685432"/>
    <w:rsid w:val="00685565"/>
    <w:rsid w:val="006878A1"/>
    <w:rsid w:val="006878EB"/>
    <w:rsid w:val="006879D6"/>
    <w:rsid w:val="00687AB1"/>
    <w:rsid w:val="006901CE"/>
    <w:rsid w:val="006908C6"/>
    <w:rsid w:val="00690B03"/>
    <w:rsid w:val="00691D27"/>
    <w:rsid w:val="006922E9"/>
    <w:rsid w:val="0069249E"/>
    <w:rsid w:val="006929F1"/>
    <w:rsid w:val="0069315C"/>
    <w:rsid w:val="00693605"/>
    <w:rsid w:val="00695062"/>
    <w:rsid w:val="00697B66"/>
    <w:rsid w:val="006A04BF"/>
    <w:rsid w:val="006A04C5"/>
    <w:rsid w:val="006A221D"/>
    <w:rsid w:val="006A2939"/>
    <w:rsid w:val="006A4783"/>
    <w:rsid w:val="006A51F3"/>
    <w:rsid w:val="006A61C0"/>
    <w:rsid w:val="006A648F"/>
    <w:rsid w:val="006A7B24"/>
    <w:rsid w:val="006B1618"/>
    <w:rsid w:val="006B1F07"/>
    <w:rsid w:val="006B25D5"/>
    <w:rsid w:val="006B3292"/>
    <w:rsid w:val="006B6637"/>
    <w:rsid w:val="006B6F9E"/>
    <w:rsid w:val="006B7F2F"/>
    <w:rsid w:val="006C030C"/>
    <w:rsid w:val="006C0CD7"/>
    <w:rsid w:val="006C16C3"/>
    <w:rsid w:val="006C28E1"/>
    <w:rsid w:val="006C30F3"/>
    <w:rsid w:val="006C33E8"/>
    <w:rsid w:val="006C38D0"/>
    <w:rsid w:val="006C4606"/>
    <w:rsid w:val="006C52EA"/>
    <w:rsid w:val="006C5937"/>
    <w:rsid w:val="006C5EC8"/>
    <w:rsid w:val="006C67C2"/>
    <w:rsid w:val="006C77D2"/>
    <w:rsid w:val="006C7AB7"/>
    <w:rsid w:val="006D18CF"/>
    <w:rsid w:val="006D4467"/>
    <w:rsid w:val="006D4559"/>
    <w:rsid w:val="006D5A76"/>
    <w:rsid w:val="006D610C"/>
    <w:rsid w:val="006D6B34"/>
    <w:rsid w:val="006D6DDB"/>
    <w:rsid w:val="006E06A7"/>
    <w:rsid w:val="006E095B"/>
    <w:rsid w:val="006E3489"/>
    <w:rsid w:val="006E43A1"/>
    <w:rsid w:val="006E594F"/>
    <w:rsid w:val="006E6131"/>
    <w:rsid w:val="006E6C14"/>
    <w:rsid w:val="006E707F"/>
    <w:rsid w:val="006E7454"/>
    <w:rsid w:val="006E7A44"/>
    <w:rsid w:val="006F2CB0"/>
    <w:rsid w:val="006F2D26"/>
    <w:rsid w:val="006F2F48"/>
    <w:rsid w:val="006F37BA"/>
    <w:rsid w:val="006F4755"/>
    <w:rsid w:val="006F48A7"/>
    <w:rsid w:val="006F5198"/>
    <w:rsid w:val="006F52D3"/>
    <w:rsid w:val="006F62DA"/>
    <w:rsid w:val="006F6562"/>
    <w:rsid w:val="006F77DC"/>
    <w:rsid w:val="00701245"/>
    <w:rsid w:val="007018A4"/>
    <w:rsid w:val="007037E8"/>
    <w:rsid w:val="007043CB"/>
    <w:rsid w:val="00704D39"/>
    <w:rsid w:val="00705554"/>
    <w:rsid w:val="0070629F"/>
    <w:rsid w:val="0070680C"/>
    <w:rsid w:val="0070725B"/>
    <w:rsid w:val="00712818"/>
    <w:rsid w:val="00712893"/>
    <w:rsid w:val="00712EFA"/>
    <w:rsid w:val="007132A4"/>
    <w:rsid w:val="007132BF"/>
    <w:rsid w:val="0071382D"/>
    <w:rsid w:val="007142C6"/>
    <w:rsid w:val="007143A8"/>
    <w:rsid w:val="0071458B"/>
    <w:rsid w:val="00714D49"/>
    <w:rsid w:val="00714DF6"/>
    <w:rsid w:val="0071553B"/>
    <w:rsid w:val="00716F46"/>
    <w:rsid w:val="0071772F"/>
    <w:rsid w:val="00717FCF"/>
    <w:rsid w:val="00720196"/>
    <w:rsid w:val="0072111D"/>
    <w:rsid w:val="00721B78"/>
    <w:rsid w:val="007225C8"/>
    <w:rsid w:val="00723A32"/>
    <w:rsid w:val="00724F6F"/>
    <w:rsid w:val="00726FB1"/>
    <w:rsid w:val="007279A3"/>
    <w:rsid w:val="007308B3"/>
    <w:rsid w:val="0073277C"/>
    <w:rsid w:val="00733744"/>
    <w:rsid w:val="0073405A"/>
    <w:rsid w:val="007346EC"/>
    <w:rsid w:val="00734BB5"/>
    <w:rsid w:val="00734FCD"/>
    <w:rsid w:val="007355C9"/>
    <w:rsid w:val="00736A9B"/>
    <w:rsid w:val="0073721D"/>
    <w:rsid w:val="0074068A"/>
    <w:rsid w:val="00740943"/>
    <w:rsid w:val="00740D80"/>
    <w:rsid w:val="007416A8"/>
    <w:rsid w:val="00742409"/>
    <w:rsid w:val="007425B4"/>
    <w:rsid w:val="0074315A"/>
    <w:rsid w:val="007434A4"/>
    <w:rsid w:val="007437EF"/>
    <w:rsid w:val="0074496A"/>
    <w:rsid w:val="00745F43"/>
    <w:rsid w:val="007465AA"/>
    <w:rsid w:val="007472B9"/>
    <w:rsid w:val="00747624"/>
    <w:rsid w:val="007510BA"/>
    <w:rsid w:val="00751C67"/>
    <w:rsid w:val="0075253B"/>
    <w:rsid w:val="007533FA"/>
    <w:rsid w:val="00754B62"/>
    <w:rsid w:val="00756004"/>
    <w:rsid w:val="007614DC"/>
    <w:rsid w:val="00761530"/>
    <w:rsid w:val="00762352"/>
    <w:rsid w:val="0076264A"/>
    <w:rsid w:val="00762BFC"/>
    <w:rsid w:val="007630FB"/>
    <w:rsid w:val="00763DD3"/>
    <w:rsid w:val="00765529"/>
    <w:rsid w:val="00765ED6"/>
    <w:rsid w:val="007666D5"/>
    <w:rsid w:val="00767D50"/>
    <w:rsid w:val="00767EEE"/>
    <w:rsid w:val="007701DA"/>
    <w:rsid w:val="007714E5"/>
    <w:rsid w:val="0077402F"/>
    <w:rsid w:val="00774AFF"/>
    <w:rsid w:val="007766CB"/>
    <w:rsid w:val="00776FEF"/>
    <w:rsid w:val="00777BCA"/>
    <w:rsid w:val="00781EC4"/>
    <w:rsid w:val="00783764"/>
    <w:rsid w:val="0078446B"/>
    <w:rsid w:val="00785214"/>
    <w:rsid w:val="00785F5C"/>
    <w:rsid w:val="0079041B"/>
    <w:rsid w:val="00790736"/>
    <w:rsid w:val="00791B9A"/>
    <w:rsid w:val="0079268E"/>
    <w:rsid w:val="007929C1"/>
    <w:rsid w:val="007941BA"/>
    <w:rsid w:val="00795031"/>
    <w:rsid w:val="00795177"/>
    <w:rsid w:val="00796FE8"/>
    <w:rsid w:val="00797236"/>
    <w:rsid w:val="00797E37"/>
    <w:rsid w:val="007A1928"/>
    <w:rsid w:val="007A22A3"/>
    <w:rsid w:val="007A3B29"/>
    <w:rsid w:val="007A45B2"/>
    <w:rsid w:val="007A566D"/>
    <w:rsid w:val="007A58D5"/>
    <w:rsid w:val="007A5A36"/>
    <w:rsid w:val="007A76F4"/>
    <w:rsid w:val="007A7701"/>
    <w:rsid w:val="007A7DF1"/>
    <w:rsid w:val="007B10AA"/>
    <w:rsid w:val="007B12D2"/>
    <w:rsid w:val="007B461C"/>
    <w:rsid w:val="007B53C4"/>
    <w:rsid w:val="007B5B78"/>
    <w:rsid w:val="007B7B8D"/>
    <w:rsid w:val="007C145C"/>
    <w:rsid w:val="007C3913"/>
    <w:rsid w:val="007C4975"/>
    <w:rsid w:val="007C5BDE"/>
    <w:rsid w:val="007C7C0D"/>
    <w:rsid w:val="007D0061"/>
    <w:rsid w:val="007D106E"/>
    <w:rsid w:val="007D13CE"/>
    <w:rsid w:val="007D1C2D"/>
    <w:rsid w:val="007D20BF"/>
    <w:rsid w:val="007D233D"/>
    <w:rsid w:val="007D300B"/>
    <w:rsid w:val="007D4C6C"/>
    <w:rsid w:val="007D5380"/>
    <w:rsid w:val="007D6519"/>
    <w:rsid w:val="007D6E29"/>
    <w:rsid w:val="007D7945"/>
    <w:rsid w:val="007E2074"/>
    <w:rsid w:val="007E2EFF"/>
    <w:rsid w:val="007E4F1D"/>
    <w:rsid w:val="007E522D"/>
    <w:rsid w:val="007E7876"/>
    <w:rsid w:val="007F0101"/>
    <w:rsid w:val="007F0BB1"/>
    <w:rsid w:val="007F1106"/>
    <w:rsid w:val="007F1146"/>
    <w:rsid w:val="007F1B80"/>
    <w:rsid w:val="007F241F"/>
    <w:rsid w:val="007F27BF"/>
    <w:rsid w:val="007F29DF"/>
    <w:rsid w:val="007F2AC8"/>
    <w:rsid w:val="007F34A1"/>
    <w:rsid w:val="007F3776"/>
    <w:rsid w:val="007F501C"/>
    <w:rsid w:val="007F51FA"/>
    <w:rsid w:val="007F7205"/>
    <w:rsid w:val="007F7885"/>
    <w:rsid w:val="00803171"/>
    <w:rsid w:val="00803FDA"/>
    <w:rsid w:val="008043CC"/>
    <w:rsid w:val="008046BE"/>
    <w:rsid w:val="00806068"/>
    <w:rsid w:val="00806F01"/>
    <w:rsid w:val="0080739F"/>
    <w:rsid w:val="008077B0"/>
    <w:rsid w:val="00812765"/>
    <w:rsid w:val="00814555"/>
    <w:rsid w:val="008148B6"/>
    <w:rsid w:val="00814CCD"/>
    <w:rsid w:val="00817088"/>
    <w:rsid w:val="0081790A"/>
    <w:rsid w:val="00820C79"/>
    <w:rsid w:val="00821416"/>
    <w:rsid w:val="00821CF1"/>
    <w:rsid w:val="00821D29"/>
    <w:rsid w:val="0082230F"/>
    <w:rsid w:val="00823E52"/>
    <w:rsid w:val="0082409D"/>
    <w:rsid w:val="00824663"/>
    <w:rsid w:val="0082521B"/>
    <w:rsid w:val="0082552D"/>
    <w:rsid w:val="0082578A"/>
    <w:rsid w:val="00825BA0"/>
    <w:rsid w:val="00825E0A"/>
    <w:rsid w:val="00830167"/>
    <w:rsid w:val="00830259"/>
    <w:rsid w:val="008302DF"/>
    <w:rsid w:val="00831089"/>
    <w:rsid w:val="00832C20"/>
    <w:rsid w:val="0083511B"/>
    <w:rsid w:val="008370CA"/>
    <w:rsid w:val="00837758"/>
    <w:rsid w:val="00840DBD"/>
    <w:rsid w:val="00841BF6"/>
    <w:rsid w:val="00843B84"/>
    <w:rsid w:val="008455B9"/>
    <w:rsid w:val="00845E09"/>
    <w:rsid w:val="00845F91"/>
    <w:rsid w:val="0084720A"/>
    <w:rsid w:val="008478F8"/>
    <w:rsid w:val="00851C25"/>
    <w:rsid w:val="0085422A"/>
    <w:rsid w:val="008543F7"/>
    <w:rsid w:val="008546EE"/>
    <w:rsid w:val="00856D4B"/>
    <w:rsid w:val="00856F88"/>
    <w:rsid w:val="00860126"/>
    <w:rsid w:val="00860409"/>
    <w:rsid w:val="00860574"/>
    <w:rsid w:val="00861540"/>
    <w:rsid w:val="00861BBE"/>
    <w:rsid w:val="00862226"/>
    <w:rsid w:val="008629CA"/>
    <w:rsid w:val="008630B3"/>
    <w:rsid w:val="008642E7"/>
    <w:rsid w:val="0086522D"/>
    <w:rsid w:val="00865DE6"/>
    <w:rsid w:val="00866713"/>
    <w:rsid w:val="00866741"/>
    <w:rsid w:val="0086679D"/>
    <w:rsid w:val="00866C0C"/>
    <w:rsid w:val="008675BE"/>
    <w:rsid w:val="00872581"/>
    <w:rsid w:val="00872EEF"/>
    <w:rsid w:val="00873E34"/>
    <w:rsid w:val="00874B11"/>
    <w:rsid w:val="00875480"/>
    <w:rsid w:val="0087626C"/>
    <w:rsid w:val="008762C8"/>
    <w:rsid w:val="008765CF"/>
    <w:rsid w:val="00876971"/>
    <w:rsid w:val="00876A3E"/>
    <w:rsid w:val="008774B8"/>
    <w:rsid w:val="00880A83"/>
    <w:rsid w:val="00881123"/>
    <w:rsid w:val="00881B58"/>
    <w:rsid w:val="00881E9C"/>
    <w:rsid w:val="00882271"/>
    <w:rsid w:val="00883C44"/>
    <w:rsid w:val="008848B1"/>
    <w:rsid w:val="0088498F"/>
    <w:rsid w:val="00885CB1"/>
    <w:rsid w:val="0088647C"/>
    <w:rsid w:val="00887BAE"/>
    <w:rsid w:val="00890CE0"/>
    <w:rsid w:val="00890EED"/>
    <w:rsid w:val="00891090"/>
    <w:rsid w:val="00891D28"/>
    <w:rsid w:val="008932BC"/>
    <w:rsid w:val="00893B19"/>
    <w:rsid w:val="00893BAB"/>
    <w:rsid w:val="00894873"/>
    <w:rsid w:val="00894DB4"/>
    <w:rsid w:val="0089524B"/>
    <w:rsid w:val="008954FF"/>
    <w:rsid w:val="008A351B"/>
    <w:rsid w:val="008A645D"/>
    <w:rsid w:val="008A65F4"/>
    <w:rsid w:val="008A712D"/>
    <w:rsid w:val="008B2317"/>
    <w:rsid w:val="008B2765"/>
    <w:rsid w:val="008B2CCD"/>
    <w:rsid w:val="008B35A7"/>
    <w:rsid w:val="008B3B5C"/>
    <w:rsid w:val="008B3ED0"/>
    <w:rsid w:val="008B67CB"/>
    <w:rsid w:val="008B6BB4"/>
    <w:rsid w:val="008B790E"/>
    <w:rsid w:val="008C0BEF"/>
    <w:rsid w:val="008C11A3"/>
    <w:rsid w:val="008C12F1"/>
    <w:rsid w:val="008C182A"/>
    <w:rsid w:val="008C20B2"/>
    <w:rsid w:val="008C22C5"/>
    <w:rsid w:val="008C297F"/>
    <w:rsid w:val="008C2DB9"/>
    <w:rsid w:val="008C3311"/>
    <w:rsid w:val="008C36DF"/>
    <w:rsid w:val="008C7B94"/>
    <w:rsid w:val="008C7BC2"/>
    <w:rsid w:val="008D0043"/>
    <w:rsid w:val="008D1213"/>
    <w:rsid w:val="008D1652"/>
    <w:rsid w:val="008D2428"/>
    <w:rsid w:val="008D2C03"/>
    <w:rsid w:val="008D2D12"/>
    <w:rsid w:val="008D410C"/>
    <w:rsid w:val="008D77AC"/>
    <w:rsid w:val="008D7EA4"/>
    <w:rsid w:val="008E0440"/>
    <w:rsid w:val="008E04D9"/>
    <w:rsid w:val="008E0AB6"/>
    <w:rsid w:val="008E12DC"/>
    <w:rsid w:val="008E1B67"/>
    <w:rsid w:val="008E22C7"/>
    <w:rsid w:val="008E283B"/>
    <w:rsid w:val="008E2E71"/>
    <w:rsid w:val="008E33F6"/>
    <w:rsid w:val="008E4DA6"/>
    <w:rsid w:val="008E65C3"/>
    <w:rsid w:val="008E741B"/>
    <w:rsid w:val="008F01AC"/>
    <w:rsid w:val="008F0659"/>
    <w:rsid w:val="008F0D0B"/>
    <w:rsid w:val="008F114D"/>
    <w:rsid w:val="008F5A65"/>
    <w:rsid w:val="008F6C1B"/>
    <w:rsid w:val="008F7D36"/>
    <w:rsid w:val="008F7EFC"/>
    <w:rsid w:val="0090034B"/>
    <w:rsid w:val="009007B2"/>
    <w:rsid w:val="00900D41"/>
    <w:rsid w:val="00902036"/>
    <w:rsid w:val="009060CA"/>
    <w:rsid w:val="00906454"/>
    <w:rsid w:val="009071AA"/>
    <w:rsid w:val="00907437"/>
    <w:rsid w:val="00913053"/>
    <w:rsid w:val="0091394C"/>
    <w:rsid w:val="00913D99"/>
    <w:rsid w:val="0091433F"/>
    <w:rsid w:val="009149B8"/>
    <w:rsid w:val="00916C3B"/>
    <w:rsid w:val="00917174"/>
    <w:rsid w:val="00917CBC"/>
    <w:rsid w:val="00920CB9"/>
    <w:rsid w:val="00920D0F"/>
    <w:rsid w:val="00922126"/>
    <w:rsid w:val="00923196"/>
    <w:rsid w:val="00924222"/>
    <w:rsid w:val="00924439"/>
    <w:rsid w:val="00924442"/>
    <w:rsid w:val="00924E4C"/>
    <w:rsid w:val="0092507B"/>
    <w:rsid w:val="00926E91"/>
    <w:rsid w:val="009308B2"/>
    <w:rsid w:val="00931545"/>
    <w:rsid w:val="00932A95"/>
    <w:rsid w:val="00932AA2"/>
    <w:rsid w:val="00933354"/>
    <w:rsid w:val="0093396C"/>
    <w:rsid w:val="009366E4"/>
    <w:rsid w:val="00936B5E"/>
    <w:rsid w:val="00937280"/>
    <w:rsid w:val="009401FE"/>
    <w:rsid w:val="00941440"/>
    <w:rsid w:val="0094173A"/>
    <w:rsid w:val="0094312F"/>
    <w:rsid w:val="00944188"/>
    <w:rsid w:val="009469EC"/>
    <w:rsid w:val="00946DA0"/>
    <w:rsid w:val="0094710F"/>
    <w:rsid w:val="0095018D"/>
    <w:rsid w:val="009515F8"/>
    <w:rsid w:val="00951C2A"/>
    <w:rsid w:val="00952D50"/>
    <w:rsid w:val="0095315D"/>
    <w:rsid w:val="00953C80"/>
    <w:rsid w:val="00953E28"/>
    <w:rsid w:val="009546DF"/>
    <w:rsid w:val="009548BC"/>
    <w:rsid w:val="009563A8"/>
    <w:rsid w:val="0095695A"/>
    <w:rsid w:val="00957D3F"/>
    <w:rsid w:val="009624AC"/>
    <w:rsid w:val="009624D7"/>
    <w:rsid w:val="00962E93"/>
    <w:rsid w:val="009636B0"/>
    <w:rsid w:val="00963AF7"/>
    <w:rsid w:val="00963EA5"/>
    <w:rsid w:val="00964338"/>
    <w:rsid w:val="00964EE6"/>
    <w:rsid w:val="009655AD"/>
    <w:rsid w:val="00965EB6"/>
    <w:rsid w:val="00966B62"/>
    <w:rsid w:val="00967794"/>
    <w:rsid w:val="00967999"/>
    <w:rsid w:val="0097105A"/>
    <w:rsid w:val="009719CA"/>
    <w:rsid w:val="00972F24"/>
    <w:rsid w:val="00973E6F"/>
    <w:rsid w:val="009751B0"/>
    <w:rsid w:val="00975593"/>
    <w:rsid w:val="00975B4D"/>
    <w:rsid w:val="00981B4B"/>
    <w:rsid w:val="00981C53"/>
    <w:rsid w:val="00982DD9"/>
    <w:rsid w:val="009839BE"/>
    <w:rsid w:val="00984E27"/>
    <w:rsid w:val="00985EFA"/>
    <w:rsid w:val="009872C5"/>
    <w:rsid w:val="00987BE4"/>
    <w:rsid w:val="00987EC5"/>
    <w:rsid w:val="00987FA2"/>
    <w:rsid w:val="00990163"/>
    <w:rsid w:val="009908DD"/>
    <w:rsid w:val="009911F3"/>
    <w:rsid w:val="009912C4"/>
    <w:rsid w:val="00991DD7"/>
    <w:rsid w:val="009924AF"/>
    <w:rsid w:val="0099258B"/>
    <w:rsid w:val="0099290E"/>
    <w:rsid w:val="00992E64"/>
    <w:rsid w:val="00992EB7"/>
    <w:rsid w:val="0099416E"/>
    <w:rsid w:val="009945C3"/>
    <w:rsid w:val="009959FB"/>
    <w:rsid w:val="009962BD"/>
    <w:rsid w:val="00996754"/>
    <w:rsid w:val="00997DE7"/>
    <w:rsid w:val="009A2129"/>
    <w:rsid w:val="009A30C6"/>
    <w:rsid w:val="009A4869"/>
    <w:rsid w:val="009A5730"/>
    <w:rsid w:val="009A5DFE"/>
    <w:rsid w:val="009A6008"/>
    <w:rsid w:val="009A6CF4"/>
    <w:rsid w:val="009A7E0C"/>
    <w:rsid w:val="009A7ED2"/>
    <w:rsid w:val="009B0DB6"/>
    <w:rsid w:val="009B22A2"/>
    <w:rsid w:val="009B246C"/>
    <w:rsid w:val="009B28D0"/>
    <w:rsid w:val="009B294E"/>
    <w:rsid w:val="009B4C8E"/>
    <w:rsid w:val="009B513D"/>
    <w:rsid w:val="009B55BC"/>
    <w:rsid w:val="009B5601"/>
    <w:rsid w:val="009B6436"/>
    <w:rsid w:val="009B6D4A"/>
    <w:rsid w:val="009B73A8"/>
    <w:rsid w:val="009B7FAE"/>
    <w:rsid w:val="009C202B"/>
    <w:rsid w:val="009C228B"/>
    <w:rsid w:val="009C22ED"/>
    <w:rsid w:val="009C23DF"/>
    <w:rsid w:val="009C31C3"/>
    <w:rsid w:val="009C5D30"/>
    <w:rsid w:val="009C61E2"/>
    <w:rsid w:val="009C7244"/>
    <w:rsid w:val="009C7259"/>
    <w:rsid w:val="009D0027"/>
    <w:rsid w:val="009D03A7"/>
    <w:rsid w:val="009D0402"/>
    <w:rsid w:val="009D1C63"/>
    <w:rsid w:val="009D2EBC"/>
    <w:rsid w:val="009D364A"/>
    <w:rsid w:val="009D4030"/>
    <w:rsid w:val="009D46E1"/>
    <w:rsid w:val="009D5C9E"/>
    <w:rsid w:val="009D6E25"/>
    <w:rsid w:val="009E0859"/>
    <w:rsid w:val="009E0868"/>
    <w:rsid w:val="009E11EE"/>
    <w:rsid w:val="009E1C55"/>
    <w:rsid w:val="009E27BB"/>
    <w:rsid w:val="009E2C39"/>
    <w:rsid w:val="009E36C8"/>
    <w:rsid w:val="009E47ED"/>
    <w:rsid w:val="009E4AB8"/>
    <w:rsid w:val="009E4D5D"/>
    <w:rsid w:val="009E52A3"/>
    <w:rsid w:val="009E6EA2"/>
    <w:rsid w:val="009E6FFA"/>
    <w:rsid w:val="009E7047"/>
    <w:rsid w:val="009E7C00"/>
    <w:rsid w:val="009F1896"/>
    <w:rsid w:val="009F34F1"/>
    <w:rsid w:val="009F3FF8"/>
    <w:rsid w:val="009F4C5D"/>
    <w:rsid w:val="009F4F2F"/>
    <w:rsid w:val="009F523B"/>
    <w:rsid w:val="009F558D"/>
    <w:rsid w:val="009F571D"/>
    <w:rsid w:val="009F5C9B"/>
    <w:rsid w:val="009F5DDA"/>
    <w:rsid w:val="009F6693"/>
    <w:rsid w:val="009F6F94"/>
    <w:rsid w:val="009F718B"/>
    <w:rsid w:val="009F76B8"/>
    <w:rsid w:val="009F76D1"/>
    <w:rsid w:val="009F7DA4"/>
    <w:rsid w:val="00A03D98"/>
    <w:rsid w:val="00A0409E"/>
    <w:rsid w:val="00A0582D"/>
    <w:rsid w:val="00A063FC"/>
    <w:rsid w:val="00A0654A"/>
    <w:rsid w:val="00A06699"/>
    <w:rsid w:val="00A100D2"/>
    <w:rsid w:val="00A11BC4"/>
    <w:rsid w:val="00A12687"/>
    <w:rsid w:val="00A12AA7"/>
    <w:rsid w:val="00A12AAF"/>
    <w:rsid w:val="00A12E17"/>
    <w:rsid w:val="00A13DF8"/>
    <w:rsid w:val="00A14C05"/>
    <w:rsid w:val="00A15904"/>
    <w:rsid w:val="00A159E1"/>
    <w:rsid w:val="00A1703D"/>
    <w:rsid w:val="00A17A09"/>
    <w:rsid w:val="00A2061D"/>
    <w:rsid w:val="00A21148"/>
    <w:rsid w:val="00A219E7"/>
    <w:rsid w:val="00A23851"/>
    <w:rsid w:val="00A24C73"/>
    <w:rsid w:val="00A25912"/>
    <w:rsid w:val="00A261AD"/>
    <w:rsid w:val="00A278F4"/>
    <w:rsid w:val="00A27C28"/>
    <w:rsid w:val="00A304FC"/>
    <w:rsid w:val="00A32212"/>
    <w:rsid w:val="00A32B59"/>
    <w:rsid w:val="00A32CB4"/>
    <w:rsid w:val="00A330B8"/>
    <w:rsid w:val="00A33BE5"/>
    <w:rsid w:val="00A371D9"/>
    <w:rsid w:val="00A40381"/>
    <w:rsid w:val="00A41460"/>
    <w:rsid w:val="00A421B0"/>
    <w:rsid w:val="00A42310"/>
    <w:rsid w:val="00A426F7"/>
    <w:rsid w:val="00A4276B"/>
    <w:rsid w:val="00A4345F"/>
    <w:rsid w:val="00A44087"/>
    <w:rsid w:val="00A4412B"/>
    <w:rsid w:val="00A44A1F"/>
    <w:rsid w:val="00A44AC8"/>
    <w:rsid w:val="00A45C0C"/>
    <w:rsid w:val="00A45E38"/>
    <w:rsid w:val="00A4615B"/>
    <w:rsid w:val="00A47498"/>
    <w:rsid w:val="00A476E8"/>
    <w:rsid w:val="00A50734"/>
    <w:rsid w:val="00A509BC"/>
    <w:rsid w:val="00A51D98"/>
    <w:rsid w:val="00A53497"/>
    <w:rsid w:val="00A54B45"/>
    <w:rsid w:val="00A55292"/>
    <w:rsid w:val="00A5645D"/>
    <w:rsid w:val="00A56822"/>
    <w:rsid w:val="00A56CFB"/>
    <w:rsid w:val="00A56E5E"/>
    <w:rsid w:val="00A57586"/>
    <w:rsid w:val="00A57E23"/>
    <w:rsid w:val="00A61524"/>
    <w:rsid w:val="00A6169A"/>
    <w:rsid w:val="00A6197F"/>
    <w:rsid w:val="00A61E94"/>
    <w:rsid w:val="00A63E01"/>
    <w:rsid w:val="00A63F34"/>
    <w:rsid w:val="00A668DA"/>
    <w:rsid w:val="00A67368"/>
    <w:rsid w:val="00A675FF"/>
    <w:rsid w:val="00A678CA"/>
    <w:rsid w:val="00A70642"/>
    <w:rsid w:val="00A74E26"/>
    <w:rsid w:val="00A7526F"/>
    <w:rsid w:val="00A75A9D"/>
    <w:rsid w:val="00A760FF"/>
    <w:rsid w:val="00A7610A"/>
    <w:rsid w:val="00A76836"/>
    <w:rsid w:val="00A77A8C"/>
    <w:rsid w:val="00A808C3"/>
    <w:rsid w:val="00A80AFE"/>
    <w:rsid w:val="00A80B49"/>
    <w:rsid w:val="00A8292A"/>
    <w:rsid w:val="00A8415F"/>
    <w:rsid w:val="00A84759"/>
    <w:rsid w:val="00A849AE"/>
    <w:rsid w:val="00A84C97"/>
    <w:rsid w:val="00A8682B"/>
    <w:rsid w:val="00A9075D"/>
    <w:rsid w:val="00A916E0"/>
    <w:rsid w:val="00A934BE"/>
    <w:rsid w:val="00A96141"/>
    <w:rsid w:val="00A97111"/>
    <w:rsid w:val="00AA0DD2"/>
    <w:rsid w:val="00AA13B1"/>
    <w:rsid w:val="00AA220E"/>
    <w:rsid w:val="00AA38B3"/>
    <w:rsid w:val="00AA3E53"/>
    <w:rsid w:val="00AA614D"/>
    <w:rsid w:val="00AA7B03"/>
    <w:rsid w:val="00AA7B24"/>
    <w:rsid w:val="00AA7D8D"/>
    <w:rsid w:val="00AB05B0"/>
    <w:rsid w:val="00AB197D"/>
    <w:rsid w:val="00AB403A"/>
    <w:rsid w:val="00AB4144"/>
    <w:rsid w:val="00AB4A82"/>
    <w:rsid w:val="00AB5197"/>
    <w:rsid w:val="00AB5394"/>
    <w:rsid w:val="00AB56BC"/>
    <w:rsid w:val="00AB584B"/>
    <w:rsid w:val="00AB5F72"/>
    <w:rsid w:val="00AB607C"/>
    <w:rsid w:val="00AC0033"/>
    <w:rsid w:val="00AC1594"/>
    <w:rsid w:val="00AC25D8"/>
    <w:rsid w:val="00AC2D97"/>
    <w:rsid w:val="00AC3672"/>
    <w:rsid w:val="00AC486D"/>
    <w:rsid w:val="00AC4C80"/>
    <w:rsid w:val="00AC670B"/>
    <w:rsid w:val="00AC7999"/>
    <w:rsid w:val="00AC79F4"/>
    <w:rsid w:val="00AD0DA9"/>
    <w:rsid w:val="00AD128E"/>
    <w:rsid w:val="00AD1496"/>
    <w:rsid w:val="00AD1F90"/>
    <w:rsid w:val="00AD3B23"/>
    <w:rsid w:val="00AD47C7"/>
    <w:rsid w:val="00AD4921"/>
    <w:rsid w:val="00AD4B57"/>
    <w:rsid w:val="00AD6EF3"/>
    <w:rsid w:val="00AD7079"/>
    <w:rsid w:val="00AE194E"/>
    <w:rsid w:val="00AE2223"/>
    <w:rsid w:val="00AE2ED2"/>
    <w:rsid w:val="00AE4AEC"/>
    <w:rsid w:val="00AE4E30"/>
    <w:rsid w:val="00AE4F08"/>
    <w:rsid w:val="00AE5A5F"/>
    <w:rsid w:val="00AE655A"/>
    <w:rsid w:val="00AE7E53"/>
    <w:rsid w:val="00AF10FC"/>
    <w:rsid w:val="00AF18D9"/>
    <w:rsid w:val="00AF1BC5"/>
    <w:rsid w:val="00AF20FF"/>
    <w:rsid w:val="00AF2773"/>
    <w:rsid w:val="00AF2839"/>
    <w:rsid w:val="00AF2F31"/>
    <w:rsid w:val="00AF43C5"/>
    <w:rsid w:val="00AF44E4"/>
    <w:rsid w:val="00AF497F"/>
    <w:rsid w:val="00AF4EB4"/>
    <w:rsid w:val="00AF53D7"/>
    <w:rsid w:val="00AF5A8A"/>
    <w:rsid w:val="00AF5E8C"/>
    <w:rsid w:val="00AF666E"/>
    <w:rsid w:val="00AF6742"/>
    <w:rsid w:val="00AF6CC9"/>
    <w:rsid w:val="00AF7014"/>
    <w:rsid w:val="00AF708A"/>
    <w:rsid w:val="00AF71CC"/>
    <w:rsid w:val="00AF750D"/>
    <w:rsid w:val="00B01BBB"/>
    <w:rsid w:val="00B03199"/>
    <w:rsid w:val="00B038FB"/>
    <w:rsid w:val="00B069AF"/>
    <w:rsid w:val="00B06AC0"/>
    <w:rsid w:val="00B07DFD"/>
    <w:rsid w:val="00B10183"/>
    <w:rsid w:val="00B11DE0"/>
    <w:rsid w:val="00B13A95"/>
    <w:rsid w:val="00B14007"/>
    <w:rsid w:val="00B14906"/>
    <w:rsid w:val="00B15E4D"/>
    <w:rsid w:val="00B173E8"/>
    <w:rsid w:val="00B202E3"/>
    <w:rsid w:val="00B214D5"/>
    <w:rsid w:val="00B215A3"/>
    <w:rsid w:val="00B217C2"/>
    <w:rsid w:val="00B24270"/>
    <w:rsid w:val="00B2573B"/>
    <w:rsid w:val="00B25776"/>
    <w:rsid w:val="00B25A61"/>
    <w:rsid w:val="00B261E5"/>
    <w:rsid w:val="00B26C78"/>
    <w:rsid w:val="00B26EC2"/>
    <w:rsid w:val="00B2700D"/>
    <w:rsid w:val="00B27251"/>
    <w:rsid w:val="00B27939"/>
    <w:rsid w:val="00B31071"/>
    <w:rsid w:val="00B31B94"/>
    <w:rsid w:val="00B32723"/>
    <w:rsid w:val="00B32939"/>
    <w:rsid w:val="00B341B6"/>
    <w:rsid w:val="00B35952"/>
    <w:rsid w:val="00B361ED"/>
    <w:rsid w:val="00B3620E"/>
    <w:rsid w:val="00B36C18"/>
    <w:rsid w:val="00B3785E"/>
    <w:rsid w:val="00B40628"/>
    <w:rsid w:val="00B4190C"/>
    <w:rsid w:val="00B41FEB"/>
    <w:rsid w:val="00B43F35"/>
    <w:rsid w:val="00B44722"/>
    <w:rsid w:val="00B45875"/>
    <w:rsid w:val="00B468AB"/>
    <w:rsid w:val="00B508B7"/>
    <w:rsid w:val="00B53AFF"/>
    <w:rsid w:val="00B5408C"/>
    <w:rsid w:val="00B5498B"/>
    <w:rsid w:val="00B54E31"/>
    <w:rsid w:val="00B54EAA"/>
    <w:rsid w:val="00B55B02"/>
    <w:rsid w:val="00B565E7"/>
    <w:rsid w:val="00B566F4"/>
    <w:rsid w:val="00B60526"/>
    <w:rsid w:val="00B60E43"/>
    <w:rsid w:val="00B614A5"/>
    <w:rsid w:val="00B6157B"/>
    <w:rsid w:val="00B629C3"/>
    <w:rsid w:val="00B62C5F"/>
    <w:rsid w:val="00B63CF2"/>
    <w:rsid w:val="00B642E6"/>
    <w:rsid w:val="00B64E36"/>
    <w:rsid w:val="00B64E8B"/>
    <w:rsid w:val="00B65116"/>
    <w:rsid w:val="00B659B2"/>
    <w:rsid w:val="00B65F3B"/>
    <w:rsid w:val="00B674AF"/>
    <w:rsid w:val="00B67A3E"/>
    <w:rsid w:val="00B7011C"/>
    <w:rsid w:val="00B709AA"/>
    <w:rsid w:val="00B70A44"/>
    <w:rsid w:val="00B70CDB"/>
    <w:rsid w:val="00B71594"/>
    <w:rsid w:val="00B73D6E"/>
    <w:rsid w:val="00B76D2A"/>
    <w:rsid w:val="00B84D32"/>
    <w:rsid w:val="00B8553B"/>
    <w:rsid w:val="00B855CB"/>
    <w:rsid w:val="00B85A52"/>
    <w:rsid w:val="00B868FD"/>
    <w:rsid w:val="00B86FD4"/>
    <w:rsid w:val="00B90CFC"/>
    <w:rsid w:val="00B9174B"/>
    <w:rsid w:val="00B91DE2"/>
    <w:rsid w:val="00B92603"/>
    <w:rsid w:val="00B93028"/>
    <w:rsid w:val="00B9349B"/>
    <w:rsid w:val="00B9387C"/>
    <w:rsid w:val="00B944D5"/>
    <w:rsid w:val="00B9501F"/>
    <w:rsid w:val="00BA0872"/>
    <w:rsid w:val="00BA12E6"/>
    <w:rsid w:val="00BA147E"/>
    <w:rsid w:val="00BA17AE"/>
    <w:rsid w:val="00BA1831"/>
    <w:rsid w:val="00BA21E5"/>
    <w:rsid w:val="00BA2E9C"/>
    <w:rsid w:val="00BA3292"/>
    <w:rsid w:val="00BA344A"/>
    <w:rsid w:val="00BA38ED"/>
    <w:rsid w:val="00BA3931"/>
    <w:rsid w:val="00BA42C6"/>
    <w:rsid w:val="00BA4327"/>
    <w:rsid w:val="00BA469B"/>
    <w:rsid w:val="00BA5626"/>
    <w:rsid w:val="00BA5F45"/>
    <w:rsid w:val="00BA5F7A"/>
    <w:rsid w:val="00BA65F5"/>
    <w:rsid w:val="00BA77C3"/>
    <w:rsid w:val="00BB0C05"/>
    <w:rsid w:val="00BB11FD"/>
    <w:rsid w:val="00BB12F9"/>
    <w:rsid w:val="00BB210D"/>
    <w:rsid w:val="00BB28CC"/>
    <w:rsid w:val="00BB310D"/>
    <w:rsid w:val="00BB59C3"/>
    <w:rsid w:val="00BB5AFA"/>
    <w:rsid w:val="00BB60D5"/>
    <w:rsid w:val="00BB63ED"/>
    <w:rsid w:val="00BB67C0"/>
    <w:rsid w:val="00BB6923"/>
    <w:rsid w:val="00BB7992"/>
    <w:rsid w:val="00BC037E"/>
    <w:rsid w:val="00BC1256"/>
    <w:rsid w:val="00BC195E"/>
    <w:rsid w:val="00BC777B"/>
    <w:rsid w:val="00BC7A45"/>
    <w:rsid w:val="00BC7F50"/>
    <w:rsid w:val="00BD082C"/>
    <w:rsid w:val="00BD0AA8"/>
    <w:rsid w:val="00BD16B8"/>
    <w:rsid w:val="00BD1E46"/>
    <w:rsid w:val="00BD437C"/>
    <w:rsid w:val="00BD5395"/>
    <w:rsid w:val="00BD5567"/>
    <w:rsid w:val="00BD5791"/>
    <w:rsid w:val="00BD5A81"/>
    <w:rsid w:val="00BD5F6E"/>
    <w:rsid w:val="00BD6100"/>
    <w:rsid w:val="00BE053B"/>
    <w:rsid w:val="00BE2227"/>
    <w:rsid w:val="00BE2409"/>
    <w:rsid w:val="00BE26E3"/>
    <w:rsid w:val="00BE2751"/>
    <w:rsid w:val="00BE32EA"/>
    <w:rsid w:val="00BE3306"/>
    <w:rsid w:val="00BE3A82"/>
    <w:rsid w:val="00BE3D16"/>
    <w:rsid w:val="00BE46E4"/>
    <w:rsid w:val="00BE48CB"/>
    <w:rsid w:val="00BE4DC0"/>
    <w:rsid w:val="00BE5418"/>
    <w:rsid w:val="00BE696F"/>
    <w:rsid w:val="00BE7924"/>
    <w:rsid w:val="00BE79FB"/>
    <w:rsid w:val="00BE7AFE"/>
    <w:rsid w:val="00BF0481"/>
    <w:rsid w:val="00BF0825"/>
    <w:rsid w:val="00BF0FEF"/>
    <w:rsid w:val="00BF2A40"/>
    <w:rsid w:val="00BF3144"/>
    <w:rsid w:val="00BF380B"/>
    <w:rsid w:val="00BF5241"/>
    <w:rsid w:val="00BF5939"/>
    <w:rsid w:val="00C00385"/>
    <w:rsid w:val="00C011B3"/>
    <w:rsid w:val="00C0158D"/>
    <w:rsid w:val="00C016D2"/>
    <w:rsid w:val="00C01FB4"/>
    <w:rsid w:val="00C02164"/>
    <w:rsid w:val="00C02E13"/>
    <w:rsid w:val="00C03F89"/>
    <w:rsid w:val="00C0616F"/>
    <w:rsid w:val="00C06A96"/>
    <w:rsid w:val="00C06AD8"/>
    <w:rsid w:val="00C11A97"/>
    <w:rsid w:val="00C11C3C"/>
    <w:rsid w:val="00C126E6"/>
    <w:rsid w:val="00C14280"/>
    <w:rsid w:val="00C142B0"/>
    <w:rsid w:val="00C160C2"/>
    <w:rsid w:val="00C16640"/>
    <w:rsid w:val="00C17869"/>
    <w:rsid w:val="00C17974"/>
    <w:rsid w:val="00C203CF"/>
    <w:rsid w:val="00C204E8"/>
    <w:rsid w:val="00C2104E"/>
    <w:rsid w:val="00C219EB"/>
    <w:rsid w:val="00C22019"/>
    <w:rsid w:val="00C22173"/>
    <w:rsid w:val="00C22D9E"/>
    <w:rsid w:val="00C236F6"/>
    <w:rsid w:val="00C248F8"/>
    <w:rsid w:val="00C24BFB"/>
    <w:rsid w:val="00C24C5C"/>
    <w:rsid w:val="00C24F4A"/>
    <w:rsid w:val="00C25526"/>
    <w:rsid w:val="00C2677F"/>
    <w:rsid w:val="00C300B6"/>
    <w:rsid w:val="00C3039F"/>
    <w:rsid w:val="00C31685"/>
    <w:rsid w:val="00C338C1"/>
    <w:rsid w:val="00C3393C"/>
    <w:rsid w:val="00C33ECE"/>
    <w:rsid w:val="00C35AFD"/>
    <w:rsid w:val="00C3603A"/>
    <w:rsid w:val="00C40290"/>
    <w:rsid w:val="00C4085F"/>
    <w:rsid w:val="00C41907"/>
    <w:rsid w:val="00C42949"/>
    <w:rsid w:val="00C42F20"/>
    <w:rsid w:val="00C43A8A"/>
    <w:rsid w:val="00C44EBC"/>
    <w:rsid w:val="00C467DD"/>
    <w:rsid w:val="00C47693"/>
    <w:rsid w:val="00C50891"/>
    <w:rsid w:val="00C50A58"/>
    <w:rsid w:val="00C51B29"/>
    <w:rsid w:val="00C53591"/>
    <w:rsid w:val="00C5457E"/>
    <w:rsid w:val="00C55B36"/>
    <w:rsid w:val="00C55C15"/>
    <w:rsid w:val="00C566AC"/>
    <w:rsid w:val="00C56BD3"/>
    <w:rsid w:val="00C604BF"/>
    <w:rsid w:val="00C61225"/>
    <w:rsid w:val="00C6196F"/>
    <w:rsid w:val="00C631AB"/>
    <w:rsid w:val="00C6413C"/>
    <w:rsid w:val="00C642EC"/>
    <w:rsid w:val="00C65879"/>
    <w:rsid w:val="00C67D00"/>
    <w:rsid w:val="00C67F4C"/>
    <w:rsid w:val="00C7035D"/>
    <w:rsid w:val="00C71A49"/>
    <w:rsid w:val="00C72260"/>
    <w:rsid w:val="00C7258C"/>
    <w:rsid w:val="00C74109"/>
    <w:rsid w:val="00C74296"/>
    <w:rsid w:val="00C74F88"/>
    <w:rsid w:val="00C75526"/>
    <w:rsid w:val="00C75810"/>
    <w:rsid w:val="00C75AF5"/>
    <w:rsid w:val="00C75B4B"/>
    <w:rsid w:val="00C75FCA"/>
    <w:rsid w:val="00C7694D"/>
    <w:rsid w:val="00C77C08"/>
    <w:rsid w:val="00C80713"/>
    <w:rsid w:val="00C80F60"/>
    <w:rsid w:val="00C820BB"/>
    <w:rsid w:val="00C820F7"/>
    <w:rsid w:val="00C8228E"/>
    <w:rsid w:val="00C82CD7"/>
    <w:rsid w:val="00C83026"/>
    <w:rsid w:val="00C83188"/>
    <w:rsid w:val="00C8348E"/>
    <w:rsid w:val="00C837EC"/>
    <w:rsid w:val="00C83FB2"/>
    <w:rsid w:val="00C853F6"/>
    <w:rsid w:val="00C85E46"/>
    <w:rsid w:val="00C86217"/>
    <w:rsid w:val="00C86514"/>
    <w:rsid w:val="00C86EE4"/>
    <w:rsid w:val="00C86F98"/>
    <w:rsid w:val="00C870CA"/>
    <w:rsid w:val="00C87164"/>
    <w:rsid w:val="00C90B64"/>
    <w:rsid w:val="00C90F0D"/>
    <w:rsid w:val="00C913F9"/>
    <w:rsid w:val="00C92368"/>
    <w:rsid w:val="00C943AE"/>
    <w:rsid w:val="00C945AE"/>
    <w:rsid w:val="00C94728"/>
    <w:rsid w:val="00C949B7"/>
    <w:rsid w:val="00C94ABC"/>
    <w:rsid w:val="00C95660"/>
    <w:rsid w:val="00C96E9F"/>
    <w:rsid w:val="00C9752B"/>
    <w:rsid w:val="00CA05B8"/>
    <w:rsid w:val="00CA09E9"/>
    <w:rsid w:val="00CA244E"/>
    <w:rsid w:val="00CA36DE"/>
    <w:rsid w:val="00CA3977"/>
    <w:rsid w:val="00CA4939"/>
    <w:rsid w:val="00CA587F"/>
    <w:rsid w:val="00CA5E4D"/>
    <w:rsid w:val="00CA64C2"/>
    <w:rsid w:val="00CA6607"/>
    <w:rsid w:val="00CB0601"/>
    <w:rsid w:val="00CB104A"/>
    <w:rsid w:val="00CB127F"/>
    <w:rsid w:val="00CB1BD6"/>
    <w:rsid w:val="00CB2423"/>
    <w:rsid w:val="00CB489E"/>
    <w:rsid w:val="00CB520A"/>
    <w:rsid w:val="00CB5239"/>
    <w:rsid w:val="00CB5453"/>
    <w:rsid w:val="00CB6F52"/>
    <w:rsid w:val="00CB7493"/>
    <w:rsid w:val="00CC0E15"/>
    <w:rsid w:val="00CC1321"/>
    <w:rsid w:val="00CC19E0"/>
    <w:rsid w:val="00CC2191"/>
    <w:rsid w:val="00CC21B0"/>
    <w:rsid w:val="00CC23BF"/>
    <w:rsid w:val="00CC2856"/>
    <w:rsid w:val="00CC2887"/>
    <w:rsid w:val="00CC2E84"/>
    <w:rsid w:val="00CC345E"/>
    <w:rsid w:val="00CC3E29"/>
    <w:rsid w:val="00CC4605"/>
    <w:rsid w:val="00CC4A71"/>
    <w:rsid w:val="00CC5DAC"/>
    <w:rsid w:val="00CC6EED"/>
    <w:rsid w:val="00CD0951"/>
    <w:rsid w:val="00CD0BC2"/>
    <w:rsid w:val="00CD11AA"/>
    <w:rsid w:val="00CD3B28"/>
    <w:rsid w:val="00CD4046"/>
    <w:rsid w:val="00CD4184"/>
    <w:rsid w:val="00CD4881"/>
    <w:rsid w:val="00CD629D"/>
    <w:rsid w:val="00CD6519"/>
    <w:rsid w:val="00CD7A05"/>
    <w:rsid w:val="00CD7F4D"/>
    <w:rsid w:val="00CE0505"/>
    <w:rsid w:val="00CE050F"/>
    <w:rsid w:val="00CE070D"/>
    <w:rsid w:val="00CE096E"/>
    <w:rsid w:val="00CE2F22"/>
    <w:rsid w:val="00CE5845"/>
    <w:rsid w:val="00CE5DE9"/>
    <w:rsid w:val="00CE6B9D"/>
    <w:rsid w:val="00CE75A3"/>
    <w:rsid w:val="00CF02D3"/>
    <w:rsid w:val="00CF08FA"/>
    <w:rsid w:val="00CF162D"/>
    <w:rsid w:val="00CF178B"/>
    <w:rsid w:val="00CF1CF5"/>
    <w:rsid w:val="00CF2CF0"/>
    <w:rsid w:val="00CF4F59"/>
    <w:rsid w:val="00CF55A0"/>
    <w:rsid w:val="00CF7366"/>
    <w:rsid w:val="00CF7B1B"/>
    <w:rsid w:val="00D00C15"/>
    <w:rsid w:val="00D035A9"/>
    <w:rsid w:val="00D053EB"/>
    <w:rsid w:val="00D056D3"/>
    <w:rsid w:val="00D059F3"/>
    <w:rsid w:val="00D065DE"/>
    <w:rsid w:val="00D06F6F"/>
    <w:rsid w:val="00D0787D"/>
    <w:rsid w:val="00D07A7B"/>
    <w:rsid w:val="00D11AE9"/>
    <w:rsid w:val="00D11B1D"/>
    <w:rsid w:val="00D11C42"/>
    <w:rsid w:val="00D1221A"/>
    <w:rsid w:val="00D127F5"/>
    <w:rsid w:val="00D129C4"/>
    <w:rsid w:val="00D13115"/>
    <w:rsid w:val="00D134E3"/>
    <w:rsid w:val="00D13932"/>
    <w:rsid w:val="00D13FAB"/>
    <w:rsid w:val="00D1428E"/>
    <w:rsid w:val="00D14B50"/>
    <w:rsid w:val="00D159B2"/>
    <w:rsid w:val="00D15A1E"/>
    <w:rsid w:val="00D16054"/>
    <w:rsid w:val="00D166DB"/>
    <w:rsid w:val="00D1748E"/>
    <w:rsid w:val="00D208BB"/>
    <w:rsid w:val="00D20BBF"/>
    <w:rsid w:val="00D216BC"/>
    <w:rsid w:val="00D21B54"/>
    <w:rsid w:val="00D23A40"/>
    <w:rsid w:val="00D24FCD"/>
    <w:rsid w:val="00D250F6"/>
    <w:rsid w:val="00D26111"/>
    <w:rsid w:val="00D2622C"/>
    <w:rsid w:val="00D26BC2"/>
    <w:rsid w:val="00D27CA4"/>
    <w:rsid w:val="00D27E29"/>
    <w:rsid w:val="00D306DE"/>
    <w:rsid w:val="00D30EDF"/>
    <w:rsid w:val="00D31754"/>
    <w:rsid w:val="00D31F4B"/>
    <w:rsid w:val="00D32B28"/>
    <w:rsid w:val="00D33BF8"/>
    <w:rsid w:val="00D34853"/>
    <w:rsid w:val="00D34AF7"/>
    <w:rsid w:val="00D363B5"/>
    <w:rsid w:val="00D37AEC"/>
    <w:rsid w:val="00D37D27"/>
    <w:rsid w:val="00D4053B"/>
    <w:rsid w:val="00D40E48"/>
    <w:rsid w:val="00D4109A"/>
    <w:rsid w:val="00D41F31"/>
    <w:rsid w:val="00D4214B"/>
    <w:rsid w:val="00D42FC2"/>
    <w:rsid w:val="00D439CC"/>
    <w:rsid w:val="00D43DFD"/>
    <w:rsid w:val="00D43F1E"/>
    <w:rsid w:val="00D44291"/>
    <w:rsid w:val="00D45BBB"/>
    <w:rsid w:val="00D45F7C"/>
    <w:rsid w:val="00D467CE"/>
    <w:rsid w:val="00D476B7"/>
    <w:rsid w:val="00D47A46"/>
    <w:rsid w:val="00D5001C"/>
    <w:rsid w:val="00D51275"/>
    <w:rsid w:val="00D519EF"/>
    <w:rsid w:val="00D51EB5"/>
    <w:rsid w:val="00D51F1D"/>
    <w:rsid w:val="00D5417A"/>
    <w:rsid w:val="00D54586"/>
    <w:rsid w:val="00D54D12"/>
    <w:rsid w:val="00D5547F"/>
    <w:rsid w:val="00D555A5"/>
    <w:rsid w:val="00D55792"/>
    <w:rsid w:val="00D56B9F"/>
    <w:rsid w:val="00D603F8"/>
    <w:rsid w:val="00D60E13"/>
    <w:rsid w:val="00D61F96"/>
    <w:rsid w:val="00D63402"/>
    <w:rsid w:val="00D63C8A"/>
    <w:rsid w:val="00D65E67"/>
    <w:rsid w:val="00D664B0"/>
    <w:rsid w:val="00D67A85"/>
    <w:rsid w:val="00D67C02"/>
    <w:rsid w:val="00D703D4"/>
    <w:rsid w:val="00D705D8"/>
    <w:rsid w:val="00D714B3"/>
    <w:rsid w:val="00D74207"/>
    <w:rsid w:val="00D75402"/>
    <w:rsid w:val="00D75A8D"/>
    <w:rsid w:val="00D76EA4"/>
    <w:rsid w:val="00D77334"/>
    <w:rsid w:val="00D80460"/>
    <w:rsid w:val="00D80643"/>
    <w:rsid w:val="00D822E6"/>
    <w:rsid w:val="00D8282D"/>
    <w:rsid w:val="00D8353F"/>
    <w:rsid w:val="00D843D0"/>
    <w:rsid w:val="00D8500C"/>
    <w:rsid w:val="00D8565F"/>
    <w:rsid w:val="00D860FD"/>
    <w:rsid w:val="00D86EDB"/>
    <w:rsid w:val="00D90313"/>
    <w:rsid w:val="00D903D4"/>
    <w:rsid w:val="00D91BE0"/>
    <w:rsid w:val="00D92C89"/>
    <w:rsid w:val="00D93549"/>
    <w:rsid w:val="00D94AF9"/>
    <w:rsid w:val="00D94F99"/>
    <w:rsid w:val="00D95505"/>
    <w:rsid w:val="00D95FCC"/>
    <w:rsid w:val="00D972F6"/>
    <w:rsid w:val="00D97417"/>
    <w:rsid w:val="00DA050B"/>
    <w:rsid w:val="00DA110D"/>
    <w:rsid w:val="00DA1921"/>
    <w:rsid w:val="00DA204A"/>
    <w:rsid w:val="00DA3032"/>
    <w:rsid w:val="00DA39F5"/>
    <w:rsid w:val="00DA4E9B"/>
    <w:rsid w:val="00DA52BD"/>
    <w:rsid w:val="00DA6C9C"/>
    <w:rsid w:val="00DB0CB5"/>
    <w:rsid w:val="00DB0DBB"/>
    <w:rsid w:val="00DB2502"/>
    <w:rsid w:val="00DB2E0B"/>
    <w:rsid w:val="00DB3083"/>
    <w:rsid w:val="00DB3CAC"/>
    <w:rsid w:val="00DB3F05"/>
    <w:rsid w:val="00DB513C"/>
    <w:rsid w:val="00DB6695"/>
    <w:rsid w:val="00DB7D82"/>
    <w:rsid w:val="00DC2742"/>
    <w:rsid w:val="00DC3F47"/>
    <w:rsid w:val="00DC4C8F"/>
    <w:rsid w:val="00DC580E"/>
    <w:rsid w:val="00DC5E08"/>
    <w:rsid w:val="00DC5E9A"/>
    <w:rsid w:val="00DC63BC"/>
    <w:rsid w:val="00DC664E"/>
    <w:rsid w:val="00DC6C90"/>
    <w:rsid w:val="00DD0DE8"/>
    <w:rsid w:val="00DD11FB"/>
    <w:rsid w:val="00DD227E"/>
    <w:rsid w:val="00DD2985"/>
    <w:rsid w:val="00DD4A36"/>
    <w:rsid w:val="00DD4CEA"/>
    <w:rsid w:val="00DD6522"/>
    <w:rsid w:val="00DD6756"/>
    <w:rsid w:val="00DD69B4"/>
    <w:rsid w:val="00DD7609"/>
    <w:rsid w:val="00DE0E6F"/>
    <w:rsid w:val="00DE2D32"/>
    <w:rsid w:val="00DE3037"/>
    <w:rsid w:val="00DE43BC"/>
    <w:rsid w:val="00DE571C"/>
    <w:rsid w:val="00DE7B27"/>
    <w:rsid w:val="00DF1B78"/>
    <w:rsid w:val="00DF3E40"/>
    <w:rsid w:val="00DF59A1"/>
    <w:rsid w:val="00DF5DA4"/>
    <w:rsid w:val="00DF73CC"/>
    <w:rsid w:val="00DF7CD4"/>
    <w:rsid w:val="00E0116E"/>
    <w:rsid w:val="00E0197C"/>
    <w:rsid w:val="00E04B9A"/>
    <w:rsid w:val="00E07233"/>
    <w:rsid w:val="00E075A7"/>
    <w:rsid w:val="00E0768F"/>
    <w:rsid w:val="00E07A44"/>
    <w:rsid w:val="00E100DA"/>
    <w:rsid w:val="00E1015B"/>
    <w:rsid w:val="00E12FDF"/>
    <w:rsid w:val="00E13394"/>
    <w:rsid w:val="00E13C6D"/>
    <w:rsid w:val="00E142DD"/>
    <w:rsid w:val="00E15978"/>
    <w:rsid w:val="00E16A60"/>
    <w:rsid w:val="00E17191"/>
    <w:rsid w:val="00E17A5E"/>
    <w:rsid w:val="00E20220"/>
    <w:rsid w:val="00E2026B"/>
    <w:rsid w:val="00E2065B"/>
    <w:rsid w:val="00E21A08"/>
    <w:rsid w:val="00E224E5"/>
    <w:rsid w:val="00E22F80"/>
    <w:rsid w:val="00E243F2"/>
    <w:rsid w:val="00E24C35"/>
    <w:rsid w:val="00E24C94"/>
    <w:rsid w:val="00E25783"/>
    <w:rsid w:val="00E25807"/>
    <w:rsid w:val="00E26260"/>
    <w:rsid w:val="00E268D9"/>
    <w:rsid w:val="00E31C38"/>
    <w:rsid w:val="00E31D75"/>
    <w:rsid w:val="00E31EDC"/>
    <w:rsid w:val="00E333D0"/>
    <w:rsid w:val="00E337B2"/>
    <w:rsid w:val="00E33F7A"/>
    <w:rsid w:val="00E346EB"/>
    <w:rsid w:val="00E34E2E"/>
    <w:rsid w:val="00E352C5"/>
    <w:rsid w:val="00E35452"/>
    <w:rsid w:val="00E40542"/>
    <w:rsid w:val="00E40721"/>
    <w:rsid w:val="00E410DA"/>
    <w:rsid w:val="00E410EB"/>
    <w:rsid w:val="00E429C2"/>
    <w:rsid w:val="00E4330D"/>
    <w:rsid w:val="00E449EC"/>
    <w:rsid w:val="00E45181"/>
    <w:rsid w:val="00E4573C"/>
    <w:rsid w:val="00E45894"/>
    <w:rsid w:val="00E45DA3"/>
    <w:rsid w:val="00E474BD"/>
    <w:rsid w:val="00E52ABF"/>
    <w:rsid w:val="00E52DC9"/>
    <w:rsid w:val="00E53046"/>
    <w:rsid w:val="00E537C4"/>
    <w:rsid w:val="00E5436A"/>
    <w:rsid w:val="00E54E13"/>
    <w:rsid w:val="00E557D6"/>
    <w:rsid w:val="00E57350"/>
    <w:rsid w:val="00E57FBA"/>
    <w:rsid w:val="00E60FE8"/>
    <w:rsid w:val="00E61CFA"/>
    <w:rsid w:val="00E644DD"/>
    <w:rsid w:val="00E645EE"/>
    <w:rsid w:val="00E64A34"/>
    <w:rsid w:val="00E64EB7"/>
    <w:rsid w:val="00E65E66"/>
    <w:rsid w:val="00E66CA3"/>
    <w:rsid w:val="00E677F6"/>
    <w:rsid w:val="00E67DC1"/>
    <w:rsid w:val="00E67F3F"/>
    <w:rsid w:val="00E7052E"/>
    <w:rsid w:val="00E70858"/>
    <w:rsid w:val="00E70F84"/>
    <w:rsid w:val="00E7121F"/>
    <w:rsid w:val="00E75DA8"/>
    <w:rsid w:val="00E75F22"/>
    <w:rsid w:val="00E76038"/>
    <w:rsid w:val="00E76104"/>
    <w:rsid w:val="00E764D7"/>
    <w:rsid w:val="00E76EE1"/>
    <w:rsid w:val="00E76FC6"/>
    <w:rsid w:val="00E76FD2"/>
    <w:rsid w:val="00E773DE"/>
    <w:rsid w:val="00E778F5"/>
    <w:rsid w:val="00E80096"/>
    <w:rsid w:val="00E80223"/>
    <w:rsid w:val="00E808CD"/>
    <w:rsid w:val="00E80A05"/>
    <w:rsid w:val="00E8198D"/>
    <w:rsid w:val="00E82C00"/>
    <w:rsid w:val="00E83004"/>
    <w:rsid w:val="00E8327A"/>
    <w:rsid w:val="00E83B4F"/>
    <w:rsid w:val="00E8431A"/>
    <w:rsid w:val="00E84E06"/>
    <w:rsid w:val="00E850EF"/>
    <w:rsid w:val="00E86444"/>
    <w:rsid w:val="00E86869"/>
    <w:rsid w:val="00E904A0"/>
    <w:rsid w:val="00E911A5"/>
    <w:rsid w:val="00E91208"/>
    <w:rsid w:val="00E91E2B"/>
    <w:rsid w:val="00E9289B"/>
    <w:rsid w:val="00E93307"/>
    <w:rsid w:val="00E93F0E"/>
    <w:rsid w:val="00E943A7"/>
    <w:rsid w:val="00E9447F"/>
    <w:rsid w:val="00E94846"/>
    <w:rsid w:val="00E95DA6"/>
    <w:rsid w:val="00E9717F"/>
    <w:rsid w:val="00EA27FE"/>
    <w:rsid w:val="00EA41A2"/>
    <w:rsid w:val="00EA4D6D"/>
    <w:rsid w:val="00EA5654"/>
    <w:rsid w:val="00EA5780"/>
    <w:rsid w:val="00EA61D0"/>
    <w:rsid w:val="00EB0358"/>
    <w:rsid w:val="00EB19A8"/>
    <w:rsid w:val="00EB1A27"/>
    <w:rsid w:val="00EB2D64"/>
    <w:rsid w:val="00EB32FE"/>
    <w:rsid w:val="00EB36E3"/>
    <w:rsid w:val="00EB7D49"/>
    <w:rsid w:val="00EC1D95"/>
    <w:rsid w:val="00EC2BA0"/>
    <w:rsid w:val="00EC34C0"/>
    <w:rsid w:val="00EC4B97"/>
    <w:rsid w:val="00EC5654"/>
    <w:rsid w:val="00EC592C"/>
    <w:rsid w:val="00EC5C24"/>
    <w:rsid w:val="00EC6E8F"/>
    <w:rsid w:val="00EC71C0"/>
    <w:rsid w:val="00EC7A6B"/>
    <w:rsid w:val="00EC7DFD"/>
    <w:rsid w:val="00EC7EB5"/>
    <w:rsid w:val="00ED11FF"/>
    <w:rsid w:val="00ED132C"/>
    <w:rsid w:val="00ED209B"/>
    <w:rsid w:val="00ED2FAA"/>
    <w:rsid w:val="00ED3984"/>
    <w:rsid w:val="00ED3A04"/>
    <w:rsid w:val="00ED4265"/>
    <w:rsid w:val="00ED4674"/>
    <w:rsid w:val="00ED53CD"/>
    <w:rsid w:val="00ED6026"/>
    <w:rsid w:val="00ED609B"/>
    <w:rsid w:val="00ED6A19"/>
    <w:rsid w:val="00ED6C12"/>
    <w:rsid w:val="00EE10F1"/>
    <w:rsid w:val="00EE1504"/>
    <w:rsid w:val="00EE1621"/>
    <w:rsid w:val="00EE286D"/>
    <w:rsid w:val="00EE3BD0"/>
    <w:rsid w:val="00EE5896"/>
    <w:rsid w:val="00EE66D8"/>
    <w:rsid w:val="00EE76E9"/>
    <w:rsid w:val="00EE7D36"/>
    <w:rsid w:val="00EF0F50"/>
    <w:rsid w:val="00EF1313"/>
    <w:rsid w:val="00EF1B3E"/>
    <w:rsid w:val="00EF1B55"/>
    <w:rsid w:val="00EF2172"/>
    <w:rsid w:val="00EF2E64"/>
    <w:rsid w:val="00EF363F"/>
    <w:rsid w:val="00EF4188"/>
    <w:rsid w:val="00EF49F6"/>
    <w:rsid w:val="00EF4A78"/>
    <w:rsid w:val="00EF4A91"/>
    <w:rsid w:val="00EF4C51"/>
    <w:rsid w:val="00EF5AB4"/>
    <w:rsid w:val="00EF6480"/>
    <w:rsid w:val="00EF703F"/>
    <w:rsid w:val="00EF74F6"/>
    <w:rsid w:val="00EF75E0"/>
    <w:rsid w:val="00F000A7"/>
    <w:rsid w:val="00F00762"/>
    <w:rsid w:val="00F01580"/>
    <w:rsid w:val="00F0176D"/>
    <w:rsid w:val="00F01793"/>
    <w:rsid w:val="00F01D8C"/>
    <w:rsid w:val="00F039D3"/>
    <w:rsid w:val="00F04E04"/>
    <w:rsid w:val="00F05E38"/>
    <w:rsid w:val="00F0650B"/>
    <w:rsid w:val="00F10552"/>
    <w:rsid w:val="00F10FB1"/>
    <w:rsid w:val="00F13AAC"/>
    <w:rsid w:val="00F14B91"/>
    <w:rsid w:val="00F15E80"/>
    <w:rsid w:val="00F17098"/>
    <w:rsid w:val="00F172B5"/>
    <w:rsid w:val="00F20FA8"/>
    <w:rsid w:val="00F2165C"/>
    <w:rsid w:val="00F216E7"/>
    <w:rsid w:val="00F2225F"/>
    <w:rsid w:val="00F24176"/>
    <w:rsid w:val="00F262DA"/>
    <w:rsid w:val="00F27DEB"/>
    <w:rsid w:val="00F300E7"/>
    <w:rsid w:val="00F30AFA"/>
    <w:rsid w:val="00F31A93"/>
    <w:rsid w:val="00F33389"/>
    <w:rsid w:val="00F33C03"/>
    <w:rsid w:val="00F33F46"/>
    <w:rsid w:val="00F341C0"/>
    <w:rsid w:val="00F348F7"/>
    <w:rsid w:val="00F34F84"/>
    <w:rsid w:val="00F355EB"/>
    <w:rsid w:val="00F35916"/>
    <w:rsid w:val="00F361FF"/>
    <w:rsid w:val="00F37107"/>
    <w:rsid w:val="00F375F9"/>
    <w:rsid w:val="00F37B6A"/>
    <w:rsid w:val="00F37EC4"/>
    <w:rsid w:val="00F417DF"/>
    <w:rsid w:val="00F42A2A"/>
    <w:rsid w:val="00F4335E"/>
    <w:rsid w:val="00F445F8"/>
    <w:rsid w:val="00F450E9"/>
    <w:rsid w:val="00F46344"/>
    <w:rsid w:val="00F51EE3"/>
    <w:rsid w:val="00F53E6C"/>
    <w:rsid w:val="00F54156"/>
    <w:rsid w:val="00F5440D"/>
    <w:rsid w:val="00F57C90"/>
    <w:rsid w:val="00F60420"/>
    <w:rsid w:val="00F6092A"/>
    <w:rsid w:val="00F65016"/>
    <w:rsid w:val="00F65A5B"/>
    <w:rsid w:val="00F66A5A"/>
    <w:rsid w:val="00F67699"/>
    <w:rsid w:val="00F70D4A"/>
    <w:rsid w:val="00F7173F"/>
    <w:rsid w:val="00F73349"/>
    <w:rsid w:val="00F73A2E"/>
    <w:rsid w:val="00F742DF"/>
    <w:rsid w:val="00F74AD5"/>
    <w:rsid w:val="00F75A14"/>
    <w:rsid w:val="00F75CA3"/>
    <w:rsid w:val="00F76849"/>
    <w:rsid w:val="00F76EBC"/>
    <w:rsid w:val="00F772AC"/>
    <w:rsid w:val="00F80430"/>
    <w:rsid w:val="00F81B1C"/>
    <w:rsid w:val="00F824AD"/>
    <w:rsid w:val="00F824F7"/>
    <w:rsid w:val="00F82914"/>
    <w:rsid w:val="00F82A38"/>
    <w:rsid w:val="00F83F68"/>
    <w:rsid w:val="00F845D4"/>
    <w:rsid w:val="00F84620"/>
    <w:rsid w:val="00F849C3"/>
    <w:rsid w:val="00F87258"/>
    <w:rsid w:val="00F87AA7"/>
    <w:rsid w:val="00F90145"/>
    <w:rsid w:val="00F906A3"/>
    <w:rsid w:val="00F90E5F"/>
    <w:rsid w:val="00F9147A"/>
    <w:rsid w:val="00F927F6"/>
    <w:rsid w:val="00F93CDB"/>
    <w:rsid w:val="00F94FBF"/>
    <w:rsid w:val="00F95D82"/>
    <w:rsid w:val="00F96574"/>
    <w:rsid w:val="00F979FC"/>
    <w:rsid w:val="00FA0FBB"/>
    <w:rsid w:val="00FA175D"/>
    <w:rsid w:val="00FA43B7"/>
    <w:rsid w:val="00FA7519"/>
    <w:rsid w:val="00FA775C"/>
    <w:rsid w:val="00FB036C"/>
    <w:rsid w:val="00FB0F2B"/>
    <w:rsid w:val="00FB125A"/>
    <w:rsid w:val="00FB2D21"/>
    <w:rsid w:val="00FB3768"/>
    <w:rsid w:val="00FB3F68"/>
    <w:rsid w:val="00FB5956"/>
    <w:rsid w:val="00FB62F2"/>
    <w:rsid w:val="00FB7AD8"/>
    <w:rsid w:val="00FB7DAD"/>
    <w:rsid w:val="00FC0370"/>
    <w:rsid w:val="00FC06DD"/>
    <w:rsid w:val="00FC2048"/>
    <w:rsid w:val="00FC24C2"/>
    <w:rsid w:val="00FC2D45"/>
    <w:rsid w:val="00FC3315"/>
    <w:rsid w:val="00FD13E2"/>
    <w:rsid w:val="00FD1D80"/>
    <w:rsid w:val="00FD1FF4"/>
    <w:rsid w:val="00FD2525"/>
    <w:rsid w:val="00FD507F"/>
    <w:rsid w:val="00FD50CE"/>
    <w:rsid w:val="00FD5537"/>
    <w:rsid w:val="00FD5ADF"/>
    <w:rsid w:val="00FD60BF"/>
    <w:rsid w:val="00FD6BE9"/>
    <w:rsid w:val="00FE000D"/>
    <w:rsid w:val="00FE00B0"/>
    <w:rsid w:val="00FE035C"/>
    <w:rsid w:val="00FE1DA8"/>
    <w:rsid w:val="00FE2F81"/>
    <w:rsid w:val="00FE3332"/>
    <w:rsid w:val="00FE36EF"/>
    <w:rsid w:val="00FE536F"/>
    <w:rsid w:val="00FE70B7"/>
    <w:rsid w:val="00FF062D"/>
    <w:rsid w:val="00FF3F8B"/>
    <w:rsid w:val="00FF4E40"/>
    <w:rsid w:val="00FF582B"/>
    <w:rsid w:val="00FF59F7"/>
    <w:rsid w:val="00FF637D"/>
    <w:rsid w:val="00FF6776"/>
    <w:rsid w:val="00FF6B52"/>
    <w:rsid w:val="055E6325"/>
    <w:rsid w:val="166E353F"/>
    <w:rsid w:val="42A95A5B"/>
    <w:rsid w:val="584D6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18"/>
    <w:qFormat/>
    <w:uiPriority w:val="9"/>
    <w:pPr>
      <w:widowControl/>
      <w:numPr>
        <w:ilvl w:val="0"/>
        <w:numId w:val="1"/>
      </w:numPr>
      <w:shd w:val="clear" w:color="auto" w:fill="FFFFFF"/>
      <w:tabs>
        <w:tab w:val="left" w:pos="0"/>
      </w:tabs>
      <w:spacing w:beforeLines="50" w:after="0" w:line="360" w:lineRule="auto"/>
      <w:jc w:val="left"/>
      <w:outlineLvl w:val="0"/>
    </w:pPr>
    <w:rPr>
      <w:rFonts w:ascii="黑体" w:eastAsia="黑体"/>
      <w:kern w:val="0"/>
      <w:sz w:val="28"/>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unhideWhenUsed/>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6"/>
    <w:unhideWhenUsed/>
    <w:qFormat/>
    <w:uiPriority w:val="99"/>
    <w:rPr>
      <w:b/>
      <w:bCs/>
    </w:rPr>
  </w:style>
  <w:style w:type="paragraph" w:styleId="5">
    <w:name w:val="annotation text"/>
    <w:basedOn w:val="1"/>
    <w:link w:val="25"/>
    <w:unhideWhenUsed/>
    <w:uiPriority w:val="99"/>
    <w:pPr>
      <w:jc w:val="left"/>
    </w:pPr>
  </w:style>
  <w:style w:type="paragraph" w:styleId="6">
    <w:name w:val="toc 3"/>
    <w:basedOn w:val="1"/>
    <w:next w:val="1"/>
    <w:unhideWhenUsed/>
    <w:qFormat/>
    <w:uiPriority w:val="39"/>
    <w:pPr>
      <w:widowControl/>
      <w:spacing w:after="100" w:line="259" w:lineRule="auto"/>
      <w:ind w:left="440"/>
      <w:jc w:val="left"/>
    </w:pPr>
    <w:rPr>
      <w:rFonts w:cs="Times New Roman"/>
      <w:kern w:val="0"/>
      <w:sz w:val="22"/>
    </w:rPr>
  </w:style>
  <w:style w:type="paragraph" w:styleId="7">
    <w:name w:val="Balloon Text"/>
    <w:basedOn w:val="1"/>
    <w:link w:val="22"/>
    <w:unhideWhenUsed/>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after="100" w:line="259" w:lineRule="auto"/>
      <w:jc w:val="left"/>
    </w:pPr>
    <w:rPr>
      <w:rFonts w:cs="Times New Roman"/>
      <w:kern w:val="0"/>
      <w:sz w:val="22"/>
    </w:rPr>
  </w:style>
  <w:style w:type="paragraph" w:styleId="11">
    <w:name w:val="toc 2"/>
    <w:basedOn w:val="1"/>
    <w:next w:val="1"/>
    <w:unhideWhenUsed/>
    <w:qFormat/>
    <w:uiPriority w:val="39"/>
    <w:pPr>
      <w:widowControl/>
      <w:spacing w:after="100" w:line="259" w:lineRule="auto"/>
      <w:ind w:left="220"/>
      <w:jc w:val="left"/>
    </w:pPr>
    <w:rPr>
      <w:rFonts w:cs="Times New Roman"/>
      <w:kern w:val="0"/>
      <w:sz w:val="22"/>
    </w:rPr>
  </w:style>
  <w:style w:type="paragraph" w:styleId="12">
    <w:name w:val="Title"/>
    <w:basedOn w:val="1"/>
    <w:next w:val="1"/>
    <w:link w:val="17"/>
    <w:qFormat/>
    <w:uiPriority w:val="10"/>
    <w:pPr>
      <w:widowControl/>
      <w:shd w:val="clear" w:color="auto" w:fill="FFFFFF"/>
      <w:spacing w:before="240" w:after="60" w:line="360" w:lineRule="auto"/>
      <w:ind w:firstLine="643" w:firstLineChars="200"/>
      <w:jc w:val="center"/>
      <w:outlineLvl w:val="0"/>
    </w:pPr>
    <w:rPr>
      <w:rFonts w:eastAsia="宋体" w:asciiTheme="majorHAnsi" w:hAnsiTheme="majorHAnsi" w:cstheme="majorBidi"/>
      <w:b/>
      <w:bCs/>
      <w:kern w:val="0"/>
      <w:sz w:val="32"/>
      <w:szCs w:val="32"/>
    </w:rPr>
  </w:style>
  <w:style w:type="character" w:styleId="14">
    <w:name w:val="Hyperlink"/>
    <w:basedOn w:val="13"/>
    <w:unhideWhenUsed/>
    <w:qFormat/>
    <w:uiPriority w:val="99"/>
    <w:rPr>
      <w:color w:val="0563C1" w:themeColor="hyperlink"/>
      <w:u w:val="single"/>
    </w:rPr>
  </w:style>
  <w:style w:type="character" w:styleId="15">
    <w:name w:val="annotation reference"/>
    <w:basedOn w:val="13"/>
    <w:unhideWhenUsed/>
    <w:qFormat/>
    <w:uiPriority w:val="99"/>
    <w:rPr>
      <w:sz w:val="21"/>
      <w:szCs w:val="21"/>
    </w:rPr>
  </w:style>
  <w:style w:type="character" w:customStyle="1" w:styleId="17">
    <w:name w:val="标题 Char"/>
    <w:basedOn w:val="13"/>
    <w:link w:val="12"/>
    <w:uiPriority w:val="10"/>
    <w:rPr>
      <w:rFonts w:eastAsia="宋体" w:asciiTheme="majorHAnsi" w:hAnsiTheme="majorHAnsi" w:cstheme="majorBidi"/>
      <w:b/>
      <w:bCs/>
      <w:kern w:val="0"/>
      <w:sz w:val="32"/>
      <w:szCs w:val="32"/>
      <w:shd w:val="clear" w:color="auto" w:fill="FFFFFF"/>
    </w:rPr>
  </w:style>
  <w:style w:type="character" w:customStyle="1" w:styleId="18">
    <w:name w:val="标题 1 Char"/>
    <w:basedOn w:val="13"/>
    <w:link w:val="2"/>
    <w:uiPriority w:val="9"/>
    <w:rPr>
      <w:rFonts w:ascii="黑体" w:eastAsia="黑体" w:hAnsiTheme="majorHAnsi" w:cstheme="majorBidi"/>
      <w:b/>
      <w:bCs/>
      <w:kern w:val="0"/>
      <w:sz w:val="28"/>
      <w:szCs w:val="32"/>
      <w:shd w:val="clear" w:color="auto" w:fill="FFFFFF"/>
    </w:rPr>
  </w:style>
  <w:style w:type="character" w:customStyle="1" w:styleId="19">
    <w:name w:val="标题 2 Char"/>
    <w:basedOn w:val="13"/>
    <w:link w:val="3"/>
    <w:qFormat/>
    <w:uiPriority w:val="9"/>
    <w:rPr>
      <w:rFonts w:asciiTheme="majorHAnsi" w:hAnsiTheme="majorHAnsi" w:eastAsiaTheme="majorEastAsia" w:cstheme="majorBidi"/>
      <w:b/>
      <w:bCs/>
      <w:sz w:val="32"/>
      <w:szCs w:val="32"/>
    </w:rPr>
  </w:style>
  <w:style w:type="character" w:customStyle="1" w:styleId="20">
    <w:name w:val="页眉 Char"/>
    <w:basedOn w:val="13"/>
    <w:link w:val="9"/>
    <w:qFormat/>
    <w:uiPriority w:val="99"/>
    <w:rPr>
      <w:sz w:val="18"/>
      <w:szCs w:val="18"/>
    </w:rPr>
  </w:style>
  <w:style w:type="character" w:customStyle="1" w:styleId="21">
    <w:name w:val="页脚 Char"/>
    <w:basedOn w:val="13"/>
    <w:link w:val="8"/>
    <w:uiPriority w:val="99"/>
    <w:rPr>
      <w:sz w:val="18"/>
      <w:szCs w:val="18"/>
    </w:rPr>
  </w:style>
  <w:style w:type="character" w:customStyle="1" w:styleId="22">
    <w:name w:val="批注框文本 Char"/>
    <w:basedOn w:val="13"/>
    <w:link w:val="7"/>
    <w:semiHidden/>
    <w:uiPriority w:val="99"/>
    <w:rPr>
      <w:sz w:val="18"/>
      <w:szCs w:val="18"/>
    </w:rPr>
  </w:style>
  <w:style w:type="paragraph" w:customStyle="1" w:styleId="23">
    <w:name w:val="List Paragraph"/>
    <w:basedOn w:val="1"/>
    <w:qFormat/>
    <w:uiPriority w:val="34"/>
    <w:pPr>
      <w:ind w:firstLine="420" w:firstLineChars="200"/>
    </w:pPr>
  </w:style>
  <w:style w:type="paragraph" w:customStyle="1" w:styleId="24">
    <w:name w:val="Default"/>
    <w:qFormat/>
    <w:uiPriority w:val="0"/>
    <w:pPr>
      <w:widowControl w:val="0"/>
      <w:autoSpaceDE w:val="0"/>
      <w:autoSpaceDN w:val="0"/>
      <w:adjustRightInd w:val="0"/>
    </w:pPr>
    <w:rPr>
      <w:rFonts w:ascii="仿宋" w:hAnsi="仿宋" w:cs="仿宋" w:eastAsiaTheme="minorEastAsia"/>
      <w:color w:val="000000"/>
      <w:sz w:val="24"/>
      <w:szCs w:val="24"/>
      <w:lang w:val="en-US" w:eastAsia="zh-CN" w:bidi="ar-SA"/>
    </w:rPr>
  </w:style>
  <w:style w:type="character" w:customStyle="1" w:styleId="25">
    <w:name w:val="批注文字 Char"/>
    <w:basedOn w:val="13"/>
    <w:link w:val="5"/>
    <w:semiHidden/>
    <w:uiPriority w:val="99"/>
  </w:style>
  <w:style w:type="character" w:customStyle="1" w:styleId="26">
    <w:name w:val="批注主题 Char"/>
    <w:basedOn w:val="25"/>
    <w:link w:val="4"/>
    <w:semiHidden/>
    <w:qFormat/>
    <w:uiPriority w:val="99"/>
    <w:rPr>
      <w:b/>
      <w:bCs/>
    </w:rPr>
  </w:style>
  <w:style w:type="paragraph" w:customStyle="1" w:styleId="27">
    <w:name w:val="TOC 标题1"/>
    <w:basedOn w:val="2"/>
    <w:next w:val="1"/>
    <w:unhideWhenUsed/>
    <w:qFormat/>
    <w:uiPriority w:val="39"/>
    <w:pPr>
      <w:numPr>
        <w:numId w:val="0"/>
      </w:numPr>
      <w:shd w:val="clear" w:color="auto" w:fill="auto"/>
      <w:tabs>
        <w:tab w:val="clear" w:pos="0"/>
      </w:tabs>
      <w:spacing w:beforeLines="0" w:line="259" w:lineRule="auto"/>
      <w:outlineLvl w:val="9"/>
    </w:pPr>
    <w:rPr>
      <w:rFonts w:asciiTheme="majorHAnsi" w:eastAsiaTheme="majorEastAsia"/>
      <w:b w:val="0"/>
      <w:bCs w:val="0"/>
      <w:color w:val="2E75B5" w:themeColor="accent1" w:themeShade="BF"/>
      <w:sz w:val="32"/>
    </w:rPr>
  </w:style>
  <w:style w:type="paragraph" w:customStyle="1" w:styleId="28">
    <w:name w:val="TOC 标题2"/>
    <w:basedOn w:val="2"/>
    <w:next w:val="1"/>
    <w:unhideWhenUsed/>
    <w:qFormat/>
    <w:uiPriority w:val="39"/>
    <w:pPr>
      <w:numPr>
        <w:numId w:val="0"/>
      </w:numPr>
      <w:shd w:val="clear" w:color="auto" w:fill="auto"/>
      <w:tabs>
        <w:tab w:val="clear" w:pos="0"/>
      </w:tabs>
      <w:spacing w:beforeLines="0" w:line="276" w:lineRule="auto"/>
      <w:outlineLvl w:val="9"/>
    </w:pPr>
    <w:rPr>
      <w:rFonts w:asciiTheme="majorHAnsi" w:eastAsiaTheme="majorEastAsia"/>
      <w:color w:val="2E75B5" w:themeColor="accent1" w:themeShade="BF"/>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080094-7AAC-49F2-BA3E-7BC2A2BDEABF}">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14</Pages>
  <Words>981</Words>
  <Characters>5592</Characters>
  <Lines>46</Lines>
  <Paragraphs>13</Paragraphs>
  <TotalTime>4577</TotalTime>
  <ScaleCrop>false</ScaleCrop>
  <LinksUpToDate>false</LinksUpToDate>
  <CharactersWithSpaces>6560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2019-12-10T09:37:00Z</dcterms:created>
  <dc:creator>微软中国</dc:creator>
  <cp:lastModifiedBy>陈雪</cp:lastModifiedBy>
  <cp:lastPrinted>2020-03-06T06:49:00Z</cp:lastPrinted>
  <dcterms:modified xsi:type="dcterms:W3CDTF">2020-03-12T09:03:05Z</dcterms:modified>
  <cp:revision>502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