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特困人员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照料护理协议（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委托个人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（范本）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乡镇（街道），法人代表：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乙方：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（照料护理人）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（特困人员）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丁方：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（村居委党员干部）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根据国家和省有关规定，为认真做好特困人员照料护理工作，经甲、乙、丙、丁四方协商一致，达成如下协议：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甲方委托乙方从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丙方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提供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日常照料护理/住院陪护）服务，支付乙方照料护理费用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（每月/每日）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元，由丁方负责日常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  <w:lang w:val="en-US" w:eastAsia="zh-CN"/>
        </w:rPr>
        <w:t>联系并监督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一、甲方权利和责任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（一）甲方应按照国家、省、市、县有关文件精神，落实特困人员照料护理相关政策。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（二）甲方有权要求和监督乙方按照本协议提供服务。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（三）甲方应配合县级民政部门做好丙方生活自理能力评估工作，并将评估结果及时通报乙方和丙方。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甲方应协助县级民政部门，按政策规定及本协议约定，向乙方支付照料护理费用。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（五）甲方发现乙方不履行、不依约履行或不能继续履行本协议的情形，有权解除本协议。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二、乙方权利和责任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（一）乙方应为完全民事行为能力人，具备履约能力。且无违法犯罪记录。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（二）乙方应具备为丙方提供照料护理服务的便利条件。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）乙方应做好服务记录，并保护好丙方个人隐私。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）乙方应保持丙方居住环境和个人卫生干净整洁。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）乙方应按时为丙方提供一日三餐，注意膳食营养调配，适时提供饮用水，安排好休息时间。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）乙方应照顾丙方吃饭、穿衣、上下床、如厕、室内行走、洗澡等不能独立完成的生活起居事宜。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）乙方应协助做好丙方住院期间治疗、打针、服药等事宜，有异常表现及时报告院方。（可选）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）乙方应为丙方提供心理辅导、情感关怀等服务。（可选）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）乙方应接受甲方、丁方和有关上级部门的监督、指导，提高照料护理服务质量。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）乙方应考虑并回应丙方就照料护理方面提出的合理建议。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十一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）乙方应密切关注丙方的思想状况和身体状况，如遇重大事情要及时向甲方、丁方报告。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）乙方有权要求甲方按时支付服务费用。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）丙方若无正当理由不配合服务或影响他人正常生活行为的，乙方有权对其劝诫教育，若经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次劝诫仍未改正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或因此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造成不良后果的，乙方有权向甲方和丁方报告，协商处理意见。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）若因乙方过错造成丙方人身或财产损失的，乙方应负赔偿责任。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（十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）乙方如欲解除服务协议，需提前</w:t>
      </w:r>
      <w:r>
        <w:rPr>
          <w:rFonts w:hint="eastAsia" w:ascii="Arial" w:hAnsi="Arial" w:cs="Arial"/>
          <w:sz w:val="24"/>
          <w:szCs w:val="24"/>
          <w:highlight w:val="none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天征求甲方意见，取得甲方书面同意后，通知丙、丁方，不得擅自终止服务，否则将追究其违约责任。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三、丙方权利和责任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（一）丙方有权按照政策规定及本协议约定，享受特困人员照料护理服务。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（二）丙方应自觉遵守国家、省、市、县关于特困人员救助供养政策的相关规定，配合乙方开展照料护理服务。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（三）丙方有权向乙方提出与服务内容相关的合理需求和建议。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（四）丙方应注意健康和人身安全，遇事及时向甲、乙、丁方报告。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四、丁方权利和责任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（一）丁方应监督</w:t>
      </w:r>
      <w:r>
        <w:rPr>
          <w:rFonts w:hint="eastAsia" w:ascii="仿宋_GB2312" w:hAnsi="仿宋_GB2312" w:cs="仿宋_GB2312"/>
          <w:sz w:val="32"/>
          <w:szCs w:val="32"/>
          <w:highlight w:val="none"/>
          <w:lang w:val="en-US" w:eastAsia="zh-CN"/>
        </w:rPr>
        <w:t>乙方、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丙方履行本协议，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（二）丁方应定期现场查访，通过询问了解、查阅记录，掌握照料护理服务到位情况。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（三）丁方在监督照料护理过程中发现存在问题，应提出纠正意见，若无法解决的，应及时向甲方报告。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五、协议的生效和终止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（一）本协议自各方签字盖章后生效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，因履行本协议产生的争议，各方向甲方所在地人民法院提起诉讼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（二）协议解除或者特困人员死亡则本协议自动终止。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（三）本协议一式四份，甲、乙、丙、丁方各执一份，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具有同等效力，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未尽事项由各方商定另附。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甲方（盖章）：                 乙方（签字）：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法人代表（签字）：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联系方式：                          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年 月 日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丙方（签字）：                 丁方（签字）：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联系方式： 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 月 日                      年 月 日</w:t>
      </w:r>
    </w:p>
    <w:p>
      <w:pPr>
        <w:rPr>
          <w:rFonts w:hint="eastAsia" w:ascii="仿宋_GB2312"/>
          <w:sz w:val="32"/>
          <w:szCs w:val="32"/>
          <w:highlight w:val="none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35066"/>
    <w:rsid w:val="4CA3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2019-09-24T08:53:00Z</dcterms:created>
  <dc:creator>栾鑫</dc:creator>
  <cp:lastModifiedBy>栾鑫</cp:lastModifiedBy>
  <dcterms:modified xsi:type="dcterms:W3CDTF">2019-09-24T08:54:46Z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