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4"/>
        <w:tblW w:w="1484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3912"/>
        <w:gridCol w:w="2595"/>
        <w:gridCol w:w="1965"/>
        <w:gridCol w:w="2850"/>
        <w:gridCol w:w="1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bookmarkStart w:id="1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深圳招商供电有限公司工商业电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  <w:lang w:val="en-US" w:eastAsia="zh-CN"/>
              </w:rPr>
              <w:t>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价目表</w:t>
            </w:r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84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（从2019年7月1日起执行）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5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用电类别</w:t>
            </w:r>
          </w:p>
        </w:tc>
        <w:tc>
          <w:tcPr>
            <w:tcW w:w="4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基本电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  <w:lang w:eastAsia="zh-CN"/>
              </w:rPr>
              <w:t>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(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  <w:lang w:eastAsia="zh-CN"/>
              </w:rPr>
              <w:t>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需量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  <w:lang w:eastAsia="zh-CN"/>
              </w:rPr>
              <w:t>计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)</w:t>
            </w:r>
          </w:p>
        </w:tc>
        <w:tc>
          <w:tcPr>
            <w:tcW w:w="4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电度电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  <w:lang w:eastAsia="zh-CN"/>
              </w:rPr>
              <w:t>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分档标准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收费标准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（元/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  <w:lang w:val="en-US" w:eastAsia="zh-CN"/>
              </w:rPr>
              <w:t>K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VA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18"/>
              </w:rPr>
              <w:t>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月）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分档标准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收费标准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（元/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  <w:lang w:val="en-US" w:eastAsia="zh-CN"/>
              </w:rPr>
              <w:t>kW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18"/>
                <w:lang w:val="en-US" w:eastAsia="zh-CN"/>
              </w:rPr>
              <w:t>·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18"/>
              </w:rPr>
              <w:t>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6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大量用电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适用于用电容量在100KVA及以上客户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650KVA及以下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52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400kW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18"/>
              </w:rPr>
              <w:t>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h及以下/月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18"/>
              </w:rPr>
              <w:t>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KVA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0.71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  <w:lang w:val="en-US" w:eastAsia="zh-CN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超过650KVA部分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50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400kW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18"/>
              </w:rPr>
              <w:t>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h以上/月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18"/>
              </w:rPr>
              <w:t>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KVA</w:t>
            </w: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0.69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  <w:lang w:val="en-US" w:eastAsia="zh-CN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高需求用电</w:t>
            </w:r>
          </w:p>
        </w:tc>
        <w:tc>
          <w:tcPr>
            <w:tcW w:w="3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适用于装机容量在5000KVA以上且最高需求量3000KVA以上客户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3500KVA及以下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81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600kW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18"/>
              </w:rPr>
              <w:t>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h及以下/月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18"/>
              </w:rPr>
              <w:t>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KVA</w:t>
            </w: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0.61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  <w:lang w:val="en-US" w:eastAsia="zh-CN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超过3500KVA部分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76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600kW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18"/>
              </w:rPr>
              <w:t>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h以上/月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18"/>
              </w:rPr>
              <w:t>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KVA</w:t>
            </w:r>
          </w:p>
        </w:tc>
        <w:tc>
          <w:tcPr>
            <w:tcW w:w="1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0.58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  <w:lang w:val="en-US" w:eastAsia="zh-CN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普通非住宅用电</w:t>
            </w:r>
          </w:p>
        </w:tc>
        <w:tc>
          <w:tcPr>
            <w:tcW w:w="3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适用于非纯住宅用途，容量在100KVA以下之客户和公共用电之客户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18"/>
              </w:rPr>
              <w:t>0.8901</w:t>
            </w:r>
          </w:p>
        </w:tc>
      </w:tr>
    </w:tbl>
    <w:p>
      <w:pPr>
        <w:widowControl/>
        <w:ind w:left="-6" w:leftChars="-150" w:hanging="462" w:hangingChars="218"/>
        <w:jc w:val="left"/>
        <w:rPr>
          <w:rFonts w:hint="eastAsia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2"/>
          <w:szCs w:val="18"/>
        </w:rPr>
        <w:t xml:space="preserve"> 注：以上电价含财政部门规定的各项政府性基金及附加。</w:t>
      </w:r>
      <w:bookmarkStart w:id="0" w:name="sbdw"/>
      <w:bookmarkEnd w:id="0"/>
    </w:p>
    <w:p/>
    <w:sectPr>
      <w:pgSz w:w="16838" w:h="11906" w:orient="landscape"/>
      <w:pgMar w:top="1587" w:right="2098" w:bottom="1474" w:left="1985" w:header="851" w:footer="1361" w:gutter="0"/>
      <w:pgNumType w:fmt="numberInDash"/>
      <w:cols w:space="720" w:num="1"/>
      <w:rtlGutter w:val="0"/>
      <w:docGrid w:type="linesAndChars" w:linePitch="589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0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2019-06-18T07:27:23Z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