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2</w:t>
      </w:r>
      <w:bookmarkStart w:id="0" w:name="_GoBack"/>
      <w:bookmarkEnd w:id="0"/>
    </w:p>
    <w:p>
      <w:pPr>
        <w:pStyle w:val="2"/>
      </w:pPr>
      <w:r>
        <w:rPr>
          <w:rFonts w:hint="eastAsia"/>
          <w:lang w:eastAsia="zh-CN"/>
        </w:rPr>
        <w:t>深圳市龙华区居家养老服务</w:t>
      </w:r>
      <w:r>
        <w:rPr>
          <w:rFonts w:hint="eastAsia"/>
        </w:rPr>
        <w:t>承诺书</w:t>
      </w:r>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机构名称</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注册地址</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联系电话</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遵守</w:t>
      </w:r>
      <w:r>
        <w:rPr>
          <w:rFonts w:hint="eastAsia" w:ascii="仿宋_GB2312" w:hAnsi="仿宋_GB2312" w:cs="仿宋_GB2312"/>
          <w:color w:val="0D0D0D"/>
          <w:kern w:val="0"/>
          <w:szCs w:val="32"/>
          <w:shd w:val="clear" w:color="auto" w:fill="FFFFFF"/>
        </w:rPr>
        <w:t>《深圳市社区居家养老服务实施方案（第二次修订）》、《深圳市居家养老消费券管理暂行规定》、《深圳市居家养老消费券定点服务机构管理暂行办法》和《深圳市龙华区社区居家养老服务电子消费券及定点服务机构管理实施方案》的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坚守诚实守信，合法经营的基本原则；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遵守龙华区居家养老电子消费券结算的有关规定；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自觉接受管理部门的评估和监督检查</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提供《居家养老消费券定点服务机构名册》上有关本机构的信息，并保证信息的真实性；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入驻手机服务端</w:t>
      </w:r>
      <w:r>
        <w:rPr>
          <w:rFonts w:ascii="仿宋_GB2312" w:hAnsi="仿宋_GB2312" w:cs="仿宋_GB2312"/>
        </w:rPr>
        <w:t>App</w:t>
      </w:r>
      <w:r>
        <w:rPr>
          <w:rFonts w:hint="eastAsia" w:ascii="仿宋_GB2312" w:hAnsi="仿宋_GB2312" w:cs="仿宋_GB2312"/>
        </w:rPr>
        <w:t>使用平台内价格，若机构收取费用不合理，区民政局有权利终止合作</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若服务过程中发生机构服务人员操作不规范，导致服务对象出现意外情况，本机构承担全部法律责任，并向服务对象作出相应赔偿</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对养老专业服务团队进行岗前培训，具有完整的培训课程，培训记录和培训成果，并且机构定期为服务人员购买人身意外险</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遵守养老服务职业道德，保护老年人隐私</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不以任何政府部门的名义强行为居家养老服务对象提供服务</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有违反相关管理办法及其他有关法律、法规规定的，自愿接受管理部门检查和处理</w:t>
      </w:r>
      <w:r>
        <w:rPr>
          <w:rFonts w:ascii="仿宋_GB2312" w:hAnsi="仿宋_GB2312" w:cs="仿宋_GB231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r>
        <w:rPr>
          <w:rFonts w:hint="eastAsia" w:ascii="仿宋_GB2312" w:hAnsi="仿宋_GB2312" w:cs="仿宋_GB2312"/>
        </w:rPr>
        <w:t>本承诺书将成为合同不可分割的部分，与合同具有同等法律效力。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法定代表人：</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（盖章）</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日</w:t>
      </w:r>
      <w:r>
        <w:rPr>
          <w:rFonts w:ascii="仿宋_GB2312" w:hAnsi="仿宋_GB2312" w:cs="仿宋_GB2312"/>
        </w:rPr>
        <w:t xml:space="preserve">    </w:t>
      </w:r>
      <w:r>
        <w:rPr>
          <w:rFonts w:hint="eastAsia" w:ascii="仿宋_GB2312" w:hAnsi="仿宋_GB2312" w:cs="仿宋_GB2312"/>
        </w:rPr>
        <w:t>期</w:t>
      </w:r>
      <w:r>
        <w:rPr>
          <w:rFonts w:ascii="仿宋_GB2312" w:hAnsi="仿宋_GB2312" w:cs="仿宋_GB2312"/>
        </w:rPr>
        <w:t xml:space="preserve"> </w:t>
      </w:r>
      <w:r>
        <w:rPr>
          <w:rFonts w:hint="eastAsia" w:ascii="仿宋_GB2312" w:hAnsi="仿宋_GB2312" w:cs="仿宋_GB2312"/>
        </w:rPr>
        <w:t>：</w:t>
      </w:r>
      <w:r>
        <w:rPr>
          <w:rFonts w:ascii="仿宋_GB2312" w:hAnsi="仿宋_GB2312" w:cs="仿宋_GB2312"/>
        </w:rPr>
        <w:t xml:space="preserve">   </w:t>
      </w:r>
      <w:r>
        <w:rPr>
          <w:rFonts w:hint="eastAsia" w:ascii="仿宋_GB2312" w:hAnsi="仿宋_GB2312" w:cs="仿宋_GB2312"/>
        </w:rPr>
        <w:t>年</w:t>
      </w:r>
      <w:r>
        <w:rPr>
          <w:rFonts w:ascii="仿宋_GB2312" w:hAnsi="仿宋_GB2312" w:cs="仿宋_GB2312"/>
        </w:rPr>
        <w:t xml:space="preserve">   </w:t>
      </w:r>
      <w:r>
        <w:rPr>
          <w:rFonts w:hint="eastAsia" w:ascii="仿宋_GB2312" w:hAnsi="仿宋_GB2312" w:cs="仿宋_GB2312"/>
        </w:rPr>
        <w:t>月</w:t>
      </w:r>
      <w:r>
        <w:rPr>
          <w:rFonts w:ascii="仿宋_GB2312" w:hAnsi="仿宋_GB2312" w:cs="仿宋_GB2312"/>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DA08"/>
    <w:multiLevelType w:val="singleLevel"/>
    <w:tmpl w:val="5A3CDA08"/>
    <w:lvl w:ilvl="0" w:tentative="0">
      <w:start w:val="1"/>
      <w:numFmt w:val="chineseCounting"/>
      <w:suff w:val="nothing"/>
      <w:lvlText w:val="%1、"/>
      <w:lvlJc w:val="left"/>
      <w:pPr>
        <w:ind w:firstLine="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C03"/>
    <w:rsid w:val="0002188F"/>
    <w:rsid w:val="00025099"/>
    <w:rsid w:val="000A2714"/>
    <w:rsid w:val="000B31FC"/>
    <w:rsid w:val="0024055B"/>
    <w:rsid w:val="00302B5B"/>
    <w:rsid w:val="003F1550"/>
    <w:rsid w:val="00444EB3"/>
    <w:rsid w:val="004E5C03"/>
    <w:rsid w:val="004F4085"/>
    <w:rsid w:val="00523B8D"/>
    <w:rsid w:val="0054377A"/>
    <w:rsid w:val="00570AAF"/>
    <w:rsid w:val="00580CC2"/>
    <w:rsid w:val="00597E44"/>
    <w:rsid w:val="005F079A"/>
    <w:rsid w:val="00692A17"/>
    <w:rsid w:val="007547C9"/>
    <w:rsid w:val="00764667"/>
    <w:rsid w:val="007E0956"/>
    <w:rsid w:val="0089102B"/>
    <w:rsid w:val="008D4DC4"/>
    <w:rsid w:val="008F387E"/>
    <w:rsid w:val="00936B0D"/>
    <w:rsid w:val="00987F6B"/>
    <w:rsid w:val="009A4E67"/>
    <w:rsid w:val="00A12E5B"/>
    <w:rsid w:val="00A15E09"/>
    <w:rsid w:val="00A675D1"/>
    <w:rsid w:val="00C433A8"/>
    <w:rsid w:val="00C65024"/>
    <w:rsid w:val="00D70B16"/>
    <w:rsid w:val="00D86791"/>
    <w:rsid w:val="00DA0FD3"/>
    <w:rsid w:val="00E374F2"/>
    <w:rsid w:val="00EE3B71"/>
    <w:rsid w:val="00FE3779"/>
    <w:rsid w:val="04176FAA"/>
    <w:rsid w:val="051633C0"/>
    <w:rsid w:val="08310F37"/>
    <w:rsid w:val="096178AA"/>
    <w:rsid w:val="126C5795"/>
    <w:rsid w:val="14687281"/>
    <w:rsid w:val="1AF55BB4"/>
    <w:rsid w:val="2DB57BBA"/>
    <w:rsid w:val="3019503A"/>
    <w:rsid w:val="3B2F07BF"/>
    <w:rsid w:val="3F6E4D16"/>
    <w:rsid w:val="417960F0"/>
    <w:rsid w:val="4FA20FF1"/>
    <w:rsid w:val="6AA73847"/>
    <w:rsid w:val="6FD83D6C"/>
    <w:rsid w:val="738D4E08"/>
    <w:rsid w:val="79EB0DC8"/>
    <w:rsid w:val="7E0F7B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paragraph" w:styleId="2">
    <w:name w:val="heading 1"/>
    <w:basedOn w:val="3"/>
    <w:next w:val="1"/>
    <w:link w:val="16"/>
    <w:qFormat/>
    <w:uiPriority w:val="99"/>
    <w:pPr>
      <w:keepNext/>
      <w:keepLines/>
      <w:spacing w:before="340" w:after="330"/>
    </w:pPr>
    <w:rPr>
      <w:rFonts w:eastAsia="宋体"/>
      <w:bCs/>
      <w:kern w:val="44"/>
      <w:sz w:val="44"/>
      <w:szCs w:val="44"/>
    </w:rPr>
  </w:style>
  <w:style w:type="paragraph" w:styleId="4">
    <w:name w:val="heading 2"/>
    <w:basedOn w:val="1"/>
    <w:next w:val="1"/>
    <w:link w:val="17"/>
    <w:qFormat/>
    <w:uiPriority w:val="99"/>
    <w:pPr>
      <w:keepNext/>
      <w:keepLines/>
      <w:outlineLvl w:val="1"/>
    </w:pPr>
    <w:rPr>
      <w:rFonts w:ascii="Arial" w:hAnsi="Arial" w:eastAsia="黑体"/>
      <w:b/>
    </w:rPr>
  </w:style>
  <w:style w:type="character" w:default="1" w:styleId="12">
    <w:name w:val="Default Paragraph Font"/>
    <w:semiHidden/>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link w:val="18"/>
    <w:qFormat/>
    <w:uiPriority w:val="99"/>
    <w:pPr>
      <w:jc w:val="center"/>
      <w:outlineLvl w:val="0"/>
    </w:pPr>
    <w:rPr>
      <w:rFonts w:ascii="Arial" w:hAnsi="Arial"/>
      <w:b/>
    </w:rPr>
  </w:style>
  <w:style w:type="paragraph" w:styleId="5">
    <w:name w:val="annotation subject"/>
    <w:basedOn w:val="6"/>
    <w:next w:val="6"/>
    <w:link w:val="20"/>
    <w:qFormat/>
    <w:uiPriority w:val="99"/>
    <w:rPr>
      <w:b/>
      <w:bCs/>
    </w:rPr>
  </w:style>
  <w:style w:type="paragraph" w:styleId="6">
    <w:name w:val="annotation text"/>
    <w:basedOn w:val="7"/>
    <w:link w:val="19"/>
    <w:qFormat/>
    <w:uiPriority w:val="99"/>
    <w:pPr>
      <w:jc w:val="left"/>
    </w:pPr>
    <w:rPr>
      <w:rFonts w:eastAsia="宋体"/>
    </w:rPr>
  </w:style>
  <w:style w:type="paragraph" w:styleId="7">
    <w:name w:val="Balloon Text"/>
    <w:basedOn w:val="1"/>
    <w:link w:val="21"/>
    <w:qFormat/>
    <w:uiPriority w:val="99"/>
    <w:rPr>
      <w:sz w:val="18"/>
      <w:szCs w:val="18"/>
    </w:rPr>
  </w:style>
  <w:style w:type="paragraph" w:styleId="8">
    <w:name w:val="Document Map"/>
    <w:basedOn w:val="1"/>
    <w:link w:val="24"/>
    <w:semiHidden/>
    <w:qFormat/>
    <w:uiPriority w:val="99"/>
    <w:pPr>
      <w:shd w:val="clear" w:color="auto" w:fill="000080"/>
    </w:pPr>
  </w:style>
  <w:style w:type="paragraph" w:styleId="9">
    <w:name w:val="footer"/>
    <w:basedOn w:val="1"/>
    <w:link w:val="22"/>
    <w:uiPriority w:val="99"/>
    <w:pPr>
      <w:tabs>
        <w:tab w:val="center" w:pos="4153"/>
        <w:tab w:val="right" w:pos="8306"/>
      </w:tabs>
      <w:snapToGrid w:val="0"/>
      <w:jc w:val="left"/>
    </w:pPr>
    <w:rPr>
      <w:sz w:val="18"/>
      <w:szCs w:val="18"/>
    </w:rPr>
  </w:style>
  <w:style w:type="paragraph" w:styleId="10">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kern w:val="0"/>
      <w:sz w:val="24"/>
    </w:rPr>
  </w:style>
  <w:style w:type="character" w:styleId="13">
    <w:name w:val="Strong"/>
    <w:basedOn w:val="12"/>
    <w:qFormat/>
    <w:uiPriority w:val="99"/>
    <w:rPr>
      <w:rFonts w:cs="Times New Roman"/>
      <w:b/>
    </w:rPr>
  </w:style>
  <w:style w:type="character" w:styleId="14">
    <w:name w:val="annotation reference"/>
    <w:basedOn w:val="12"/>
    <w:qFormat/>
    <w:uiPriority w:val="99"/>
    <w:rPr>
      <w:rFonts w:cs="Times New Roman"/>
      <w:sz w:val="21"/>
      <w:szCs w:val="21"/>
    </w:rPr>
  </w:style>
  <w:style w:type="character" w:customStyle="1" w:styleId="16">
    <w:name w:val="Heading 1 Char"/>
    <w:basedOn w:val="12"/>
    <w:link w:val="2"/>
    <w:qFormat/>
    <w:locked/>
    <w:uiPriority w:val="99"/>
    <w:rPr>
      <w:rFonts w:ascii="Arial" w:hAnsi="Arial" w:eastAsia="宋体" w:cs="Times New Roman"/>
      <w:b/>
      <w:bCs/>
      <w:kern w:val="44"/>
      <w:sz w:val="44"/>
      <w:szCs w:val="44"/>
    </w:rPr>
  </w:style>
  <w:style w:type="character" w:customStyle="1" w:styleId="17">
    <w:name w:val="Heading 2 Char"/>
    <w:basedOn w:val="12"/>
    <w:link w:val="4"/>
    <w:semiHidden/>
    <w:locked/>
    <w:uiPriority w:val="99"/>
    <w:rPr>
      <w:rFonts w:ascii="Cambria" w:hAnsi="Cambria" w:eastAsia="宋体" w:cs="Times New Roman"/>
      <w:b/>
      <w:bCs/>
      <w:sz w:val="32"/>
      <w:szCs w:val="32"/>
    </w:rPr>
  </w:style>
  <w:style w:type="character" w:customStyle="1" w:styleId="18">
    <w:name w:val="Title Char"/>
    <w:basedOn w:val="12"/>
    <w:link w:val="3"/>
    <w:qFormat/>
    <w:locked/>
    <w:uiPriority w:val="99"/>
    <w:rPr>
      <w:rFonts w:ascii="Cambria" w:hAnsi="Cambria" w:cs="Times New Roman"/>
      <w:b/>
      <w:bCs/>
      <w:sz w:val="32"/>
      <w:szCs w:val="32"/>
    </w:rPr>
  </w:style>
  <w:style w:type="character" w:customStyle="1" w:styleId="19">
    <w:name w:val="Comment Text Char"/>
    <w:basedOn w:val="12"/>
    <w:link w:val="6"/>
    <w:semiHidden/>
    <w:qFormat/>
    <w:locked/>
    <w:uiPriority w:val="99"/>
    <w:rPr>
      <w:rFonts w:eastAsia="宋体" w:cs="Times New Roman"/>
      <w:kern w:val="2"/>
      <w:sz w:val="22"/>
      <w:szCs w:val="22"/>
    </w:rPr>
  </w:style>
  <w:style w:type="character" w:customStyle="1" w:styleId="20">
    <w:name w:val="Comment Subject Char"/>
    <w:basedOn w:val="19"/>
    <w:link w:val="5"/>
    <w:semiHidden/>
    <w:qFormat/>
    <w:locked/>
    <w:uiPriority w:val="99"/>
    <w:rPr>
      <w:b/>
      <w:bCs/>
    </w:rPr>
  </w:style>
  <w:style w:type="character" w:customStyle="1" w:styleId="21">
    <w:name w:val="Balloon Text Char"/>
    <w:basedOn w:val="12"/>
    <w:link w:val="7"/>
    <w:semiHidden/>
    <w:qFormat/>
    <w:locked/>
    <w:uiPriority w:val="99"/>
    <w:rPr>
      <w:rFonts w:cs="Times New Roman"/>
      <w:kern w:val="2"/>
      <w:sz w:val="18"/>
      <w:szCs w:val="18"/>
    </w:rPr>
  </w:style>
  <w:style w:type="character" w:customStyle="1" w:styleId="22">
    <w:name w:val="Footer Char"/>
    <w:basedOn w:val="12"/>
    <w:link w:val="9"/>
    <w:qFormat/>
    <w:locked/>
    <w:uiPriority w:val="99"/>
    <w:rPr>
      <w:rFonts w:cs="Times New Roman"/>
      <w:sz w:val="18"/>
      <w:szCs w:val="18"/>
    </w:rPr>
  </w:style>
  <w:style w:type="character" w:customStyle="1" w:styleId="23">
    <w:name w:val="Header Char"/>
    <w:basedOn w:val="12"/>
    <w:link w:val="10"/>
    <w:qFormat/>
    <w:locked/>
    <w:uiPriority w:val="99"/>
    <w:rPr>
      <w:rFonts w:cs="Times New Roman"/>
      <w:sz w:val="18"/>
      <w:szCs w:val="18"/>
    </w:rPr>
  </w:style>
  <w:style w:type="character" w:customStyle="1" w:styleId="24">
    <w:name w:val="Document Map Char"/>
    <w:basedOn w:val="12"/>
    <w:link w:val="8"/>
    <w:semiHidden/>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r</Company>
  <Pages>2</Pages>
  <Words>87</Words>
  <Characters>501</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2017-12-14T06:58:00Z</dcterms:created>
  <dc:creator>r</dc:creator>
  <cp:lastModifiedBy>叶俊丞</cp:lastModifiedBy>
  <cp:lastPrinted>2019-08-23T03:27:00Z</cp:lastPrinted>
  <dcterms:modified xsi:type="dcterms:W3CDTF">2020-08-21T02:04:24Z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