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36"/>
          <w:u w:val="none"/>
        </w:rPr>
        <w:t>《深圳市龙华区关于促进深圳国家高新区龙华园区高质量发展的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36"/>
          <w:u w:val="none"/>
          <w:lang w:val="en-US" w:eastAsia="zh-CN"/>
        </w:rPr>
        <w:t>若干措施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36"/>
          <w:u w:val="none"/>
        </w:rPr>
        <w:t>（试行）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6"/>
          <w:u w:val="none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  <w:u w:val="none"/>
        </w:rPr>
        <w:t>编制说明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u w:val="none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jc w:val="left"/>
        <w:textAlignment w:val="auto"/>
        <w:rPr>
          <w:u w:val="none"/>
        </w:rPr>
      </w:pPr>
      <w:r>
        <w:rPr>
          <w:rFonts w:hint="eastAsia"/>
          <w:u w:val="none"/>
        </w:rPr>
        <w:t>为贯彻落实《深圳国家高新区扩区方案》，推动深圳国家高新区龙华园区（以下简称</w:t>
      </w:r>
      <w:r>
        <w:rPr>
          <w:rFonts w:hint="eastAsia"/>
          <w:u w:val="none"/>
          <w:lang w:eastAsia="zh-CN"/>
        </w:rPr>
        <w:t>“</w:t>
      </w:r>
      <w:r>
        <w:rPr>
          <w:rFonts w:hint="eastAsia"/>
          <w:u w:val="none"/>
        </w:rPr>
        <w:t>龙华园区</w:t>
      </w:r>
      <w:r>
        <w:rPr>
          <w:rFonts w:hint="eastAsia"/>
          <w:u w:val="none"/>
          <w:lang w:eastAsia="zh-CN"/>
        </w:rPr>
        <w:t>”</w:t>
      </w:r>
      <w:r>
        <w:rPr>
          <w:rFonts w:hint="eastAsia"/>
          <w:u w:val="none"/>
        </w:rPr>
        <w:t>）高质量发展，引导创新要素集聚和产业能级提升，构造良好产业生态，将龙华园区建设成为全国知名、湾区一流的现代化产业园区，结合</w:t>
      </w:r>
      <w:r>
        <w:rPr>
          <w:rFonts w:hint="eastAsia"/>
          <w:u w:val="none"/>
          <w:lang w:eastAsia="zh-CN"/>
        </w:rPr>
        <w:t>龙华园区实际</w:t>
      </w:r>
      <w:r>
        <w:rPr>
          <w:rFonts w:hint="eastAsia"/>
          <w:u w:val="none"/>
        </w:rPr>
        <w:t>，</w:t>
      </w:r>
      <w:r>
        <w:rPr>
          <w:rFonts w:hint="eastAsia"/>
          <w:u w:val="none"/>
          <w:lang w:eastAsia="zh-CN"/>
        </w:rPr>
        <w:t>我局牵头编制</w:t>
      </w:r>
      <w:r>
        <w:rPr>
          <w:rFonts w:hint="eastAsia"/>
          <w:u w:val="none"/>
        </w:rPr>
        <w:t>了《深圳市龙华区关于促进深圳国家高新区龙华园区高质量发展的</w:t>
      </w:r>
      <w:r>
        <w:rPr>
          <w:rFonts w:hint="eastAsia"/>
          <w:u w:val="none"/>
          <w:lang w:val="en-US" w:eastAsia="zh-CN"/>
        </w:rPr>
        <w:t>若干措施</w:t>
      </w:r>
      <w:r>
        <w:rPr>
          <w:rFonts w:hint="eastAsia"/>
          <w:u w:val="none"/>
        </w:rPr>
        <w:t>（试行）》（以下简称《</w:t>
      </w:r>
      <w:r>
        <w:rPr>
          <w:rFonts w:hint="eastAsia"/>
          <w:u w:val="none"/>
          <w:lang w:val="en-US" w:eastAsia="zh-CN"/>
        </w:rPr>
        <w:t>若干措施</w:t>
      </w:r>
      <w:r>
        <w:rPr>
          <w:rFonts w:hint="eastAsia"/>
          <w:u w:val="none"/>
        </w:rPr>
        <w:t>》），现</w:t>
      </w:r>
      <w:r>
        <w:rPr>
          <w:rFonts w:hint="eastAsia"/>
          <w:u w:val="none"/>
          <w:lang w:eastAsia="zh-CN"/>
        </w:rPr>
        <w:t>就《若干措施》做简要说明。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一、编制</w:t>
      </w:r>
      <w:r>
        <w:rPr>
          <w:rFonts w:hint="eastAsia" w:ascii="黑体" w:hAnsi="黑体" w:eastAsia="黑体" w:cs="黑体"/>
          <w:sz w:val="32"/>
          <w:szCs w:val="32"/>
          <w:u w:val="none"/>
        </w:rPr>
        <w:t>背景</w:t>
      </w:r>
    </w:p>
    <w:p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jc w:val="both"/>
        <w:textAlignment w:val="auto"/>
        <w:rPr>
          <w:rFonts w:hint="default" w:ascii="仿宋_GB2312" w:hAnsi="仿宋_GB2312"/>
          <w:u w:val="none"/>
          <w:lang w:val="en-US" w:eastAsia="zh-CN"/>
        </w:rPr>
      </w:pPr>
      <w:r>
        <w:rPr>
          <w:rFonts w:hint="eastAsia" w:ascii="Times New Roman" w:hAnsi="Times New Roman"/>
          <w:u w:val="none"/>
          <w:lang w:val="en-US" w:eastAsia="zh-CN"/>
        </w:rPr>
        <w:t>2019年4月，《深圳国家高新区扩区方案》正式印发，深圳国家高新区</w:t>
      </w:r>
      <w:r>
        <w:rPr>
          <w:rFonts w:hint="eastAsia"/>
          <w:u w:val="none"/>
          <w:lang w:val="en-US" w:eastAsia="zh-CN"/>
        </w:rPr>
        <w:t>的规划面积</w:t>
      </w:r>
      <w:r>
        <w:rPr>
          <w:rFonts w:hint="eastAsia" w:ascii="Times New Roman" w:hAnsi="Times New Roman"/>
          <w:u w:val="none"/>
          <w:lang w:val="en-US" w:eastAsia="zh-CN"/>
        </w:rPr>
        <w:t>从原来的11.52平方公里</w:t>
      </w:r>
      <w:r>
        <w:rPr>
          <w:rFonts w:hint="eastAsia"/>
          <w:u w:val="none"/>
          <w:lang w:val="en-US" w:eastAsia="zh-CN"/>
        </w:rPr>
        <w:t>拓展为</w:t>
      </w:r>
      <w:r>
        <w:rPr>
          <w:rFonts w:hint="eastAsia" w:ascii="Times New Roman" w:hAnsi="Times New Roman"/>
          <w:u w:val="none"/>
          <w:lang w:val="en-US" w:eastAsia="zh-CN"/>
        </w:rPr>
        <w:t>159.48平方公里，将龙华园区纳入了高新区范围内，明确规划主导产业</w:t>
      </w:r>
      <w:r>
        <w:rPr>
          <w:rFonts w:hint="eastAsia" w:ascii="仿宋_GB2312" w:hAnsi="仿宋_GB2312"/>
          <w:u w:val="none"/>
          <w:lang w:val="en-US" w:eastAsia="zh-CN"/>
        </w:rPr>
        <w:t>为人工智能、移动智能终端和生物医药。龙华园区</w:t>
      </w:r>
      <w:r>
        <w:rPr>
          <w:rFonts w:hint="eastAsia"/>
          <w:u w:val="none"/>
          <w:lang w:val="en-US" w:eastAsia="zh-CN"/>
        </w:rPr>
        <w:t>2018年产值1565亿元，以全区约10%的土地面积创造了30%的工业产值，规上工业企业135家，国高企业247家，</w:t>
      </w:r>
      <w:r>
        <w:rPr>
          <w:rFonts w:hint="eastAsia" w:ascii="仿宋_GB2312" w:hAnsi="仿宋_GB2312"/>
          <w:u w:val="none"/>
          <w:lang w:val="en-US" w:eastAsia="zh-CN"/>
        </w:rPr>
        <w:t>主导产业集中于移动智能终端生产制造环节，处于产业链低端环节。同时，智能装备制造和生物医药产业分散发展，尚未形成完备产业链。</w:t>
      </w:r>
    </w:p>
    <w:p>
      <w:pPr>
        <w:pStyle w:val="14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jc w:val="left"/>
        <w:textAlignment w:val="auto"/>
        <w:rPr>
          <w:rFonts w:hint="default" w:ascii="仿宋_GB2312" w:hAnsi="仿宋_GB2312" w:eastAsia="仿宋_GB2312"/>
          <w:u w:val="none"/>
          <w:lang w:val="en-US" w:eastAsia="zh-CN"/>
        </w:rPr>
      </w:pPr>
      <w:r>
        <w:rPr>
          <w:rFonts w:hint="eastAsia" w:ascii="仿宋_GB2312" w:hAnsi="仿宋_GB2312"/>
          <w:u w:val="none"/>
        </w:rPr>
        <w:t>通过深入调研，</w:t>
      </w:r>
      <w:r>
        <w:rPr>
          <w:rFonts w:hint="eastAsia" w:ascii="仿宋_GB2312" w:hAnsi="仿宋_GB2312"/>
          <w:u w:val="none"/>
          <w:lang w:eastAsia="zh-CN"/>
        </w:rPr>
        <w:t>我局</w:t>
      </w:r>
      <w:r>
        <w:rPr>
          <w:rFonts w:hint="eastAsia" w:ascii="仿宋_GB2312" w:hAnsi="仿宋_GB2312"/>
          <w:u w:val="none"/>
          <w:lang w:val="en-US" w:eastAsia="zh-CN"/>
        </w:rPr>
        <w:t>发现龙华园区发展存在以下问题。</w:t>
      </w:r>
      <w:r>
        <w:rPr>
          <w:rFonts w:hint="eastAsia" w:ascii="仿宋_GB2312" w:hAnsi="仿宋_GB2312"/>
          <w:b/>
          <w:bCs/>
          <w:u w:val="none"/>
          <w:lang w:val="en-US" w:eastAsia="zh-CN"/>
        </w:rPr>
        <w:t>一是</w:t>
      </w:r>
      <w:r>
        <w:rPr>
          <w:rFonts w:hint="eastAsia" w:ascii="仿宋_GB2312" w:hAnsi="仿宋_GB2312"/>
          <w:u w:val="none"/>
          <w:lang w:val="en-US" w:eastAsia="zh-CN"/>
        </w:rPr>
        <w:t>产业集聚性不强。园区内围绕富士康形成了一定的产业集聚，但尚未形成完备的产业链，产业关联性不明显。</w:t>
      </w:r>
      <w:r>
        <w:rPr>
          <w:rFonts w:hint="eastAsia" w:ascii="仿宋_GB2312" w:hAnsi="仿宋_GB2312"/>
          <w:b/>
          <w:bCs/>
          <w:u w:val="none"/>
          <w:lang w:val="en-US" w:eastAsia="zh-CN"/>
        </w:rPr>
        <w:t>二是</w:t>
      </w:r>
      <w:r>
        <w:rPr>
          <w:rFonts w:hint="eastAsia" w:ascii="仿宋_GB2312" w:hAnsi="仿宋_GB2312"/>
          <w:u w:val="none"/>
          <w:lang w:val="en-US" w:eastAsia="zh-CN"/>
        </w:rPr>
        <w:t>产业创新能力弱。园区内创新主体为中小型制造企业，缺乏高校、创新载体和优质的科技创新型企业等源头资源，创新动能不足</w:t>
      </w:r>
      <w:r>
        <w:rPr>
          <w:rFonts w:hint="eastAsia" w:ascii="Times New Roman" w:hAnsi="Times New Roman"/>
          <w:kern w:val="0"/>
          <w:u w:val="none"/>
        </w:rPr>
        <w:t>。</w:t>
      </w:r>
      <w:r>
        <w:rPr>
          <w:rFonts w:hint="eastAsia"/>
          <w:b/>
          <w:bCs/>
          <w:kern w:val="0"/>
          <w:u w:val="none"/>
          <w:lang w:val="en-US" w:eastAsia="zh-CN"/>
        </w:rPr>
        <w:t>三是</w:t>
      </w:r>
      <w:r>
        <w:rPr>
          <w:rFonts w:hint="eastAsia"/>
          <w:kern w:val="0"/>
          <w:u w:val="none"/>
          <w:lang w:val="en-US" w:eastAsia="zh-CN"/>
        </w:rPr>
        <w:t>科技成果产业化不足，园区内缺乏技术转移服务机构等成果转化中介，导致科技成果转化中间环节塌陷。</w:t>
      </w:r>
      <w:r>
        <w:rPr>
          <w:rFonts w:hint="eastAsia"/>
          <w:b/>
          <w:bCs/>
          <w:kern w:val="0"/>
          <w:u w:val="none"/>
          <w:lang w:val="en-US" w:eastAsia="zh-CN"/>
        </w:rPr>
        <w:t>四是</w:t>
      </w:r>
      <w:r>
        <w:rPr>
          <w:rFonts w:hint="eastAsia"/>
          <w:kern w:val="0"/>
          <w:u w:val="none"/>
          <w:lang w:val="en-US" w:eastAsia="zh-CN"/>
        </w:rPr>
        <w:t>生活配套设施严重不足。园区内餐饮条件较差，金融网点缺乏，娱乐文化设施不足，园区整体面貌有待提升。</w:t>
      </w:r>
    </w:p>
    <w:p>
      <w:pPr>
        <w:pStyle w:val="14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/>
          <w:u w:val="none"/>
          <w:lang w:val="en-US" w:eastAsia="zh-CN"/>
        </w:rPr>
      </w:pPr>
      <w:r>
        <w:rPr>
          <w:rFonts w:hint="eastAsia" w:ascii="仿宋_GB2312" w:hAnsi="仿宋_GB2312"/>
          <w:u w:val="none"/>
          <w:lang w:val="en-US" w:eastAsia="zh-CN"/>
        </w:rPr>
        <w:t>为促进龙华园区高质量发展</w:t>
      </w:r>
      <w:r>
        <w:rPr>
          <w:rFonts w:hint="eastAsia" w:ascii="仿宋_GB2312" w:hAnsi="仿宋_GB2312"/>
          <w:u w:val="none"/>
        </w:rPr>
        <w:t>，</w:t>
      </w:r>
      <w:r>
        <w:rPr>
          <w:rFonts w:hint="eastAsia" w:ascii="仿宋_GB2312" w:hAnsi="仿宋_GB2312"/>
          <w:u w:val="none"/>
          <w:lang w:val="en-US" w:eastAsia="zh-CN"/>
        </w:rPr>
        <w:t>优化园区内营商环境，</w:t>
      </w:r>
      <w:r>
        <w:rPr>
          <w:rFonts w:hint="eastAsia" w:ascii="仿宋_GB2312" w:hAnsi="仿宋_GB2312"/>
          <w:bCs/>
          <w:u w:val="none"/>
          <w:lang w:val="en-US" w:eastAsia="zh-CN"/>
        </w:rPr>
        <w:t>推动园区内产业</w:t>
      </w:r>
      <w:r>
        <w:rPr>
          <w:rFonts w:hint="eastAsia" w:ascii="仿宋_GB2312" w:hAnsi="仿宋_GB2312"/>
          <w:u w:val="none"/>
        </w:rPr>
        <w:t>做大、做强、做优</w:t>
      </w:r>
      <w:r>
        <w:rPr>
          <w:rFonts w:hint="eastAsia" w:ascii="仿宋_GB2312" w:hAnsi="仿宋_GB2312"/>
          <w:u w:val="none"/>
          <w:lang w:eastAsia="zh-CN"/>
        </w:rPr>
        <w:t>，</w:t>
      </w:r>
      <w:r>
        <w:rPr>
          <w:rFonts w:hint="eastAsia" w:ascii="仿宋_GB2312" w:hAnsi="仿宋_GB2312"/>
          <w:u w:val="none"/>
          <w:lang w:val="en-US" w:eastAsia="zh-CN"/>
        </w:rPr>
        <w:t>结合龙华园区发展现状和先进园区的发展经验，特</w:t>
      </w:r>
      <w:r>
        <w:rPr>
          <w:rFonts w:hint="eastAsia" w:ascii="仿宋_GB2312" w:hAnsi="仿宋_GB2312"/>
          <w:u w:val="none"/>
        </w:rPr>
        <w:t>编制</w:t>
      </w:r>
      <w:r>
        <w:rPr>
          <w:rFonts w:hint="eastAsia" w:ascii="仿宋_GB2312" w:hAnsi="仿宋_GB2312"/>
          <w:u w:val="none"/>
          <w:lang w:eastAsia="zh-CN"/>
        </w:rPr>
        <w:t>此</w:t>
      </w:r>
      <w:r>
        <w:rPr>
          <w:rFonts w:hint="eastAsia" w:ascii="仿宋_GB2312" w:hAnsi="仿宋_GB2312"/>
          <w:bCs/>
          <w:u w:val="none"/>
          <w:lang w:eastAsia="zh-CN"/>
        </w:rPr>
        <w:t>《若干措施》</w:t>
      </w:r>
      <w:r>
        <w:rPr>
          <w:rFonts w:hint="eastAsia" w:ascii="仿宋_GB2312" w:hAnsi="仿宋_GB2312"/>
          <w:u w:val="none"/>
          <w:lang w:eastAsia="zh-CN"/>
        </w:rPr>
        <w:t>。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Lines="0" w:afterLines="0" w:line="560" w:lineRule="exact"/>
        <w:ind w:left="0" w:firstLine="640" w:firstLineChars="200"/>
        <w:jc w:val="left"/>
        <w:textAlignment w:val="auto"/>
        <w:outlineLvl w:val="0"/>
        <w:rPr>
          <w:rFonts w:ascii="黑体" w:hAnsi="黑体" w:eastAsia="黑体" w:cs="黑体"/>
          <w:bCs/>
          <w:szCs w:val="32"/>
          <w:u w:val="none"/>
        </w:rPr>
      </w:pPr>
      <w:r>
        <w:rPr>
          <w:rFonts w:hint="eastAsia" w:ascii="黑体" w:hAnsi="黑体" w:eastAsia="黑体" w:cs="黑体"/>
          <w:bCs/>
          <w:szCs w:val="32"/>
          <w:u w:val="none"/>
          <w:lang w:eastAsia="zh-CN"/>
        </w:rPr>
        <w:t>二</w:t>
      </w:r>
      <w:r>
        <w:rPr>
          <w:rFonts w:hint="eastAsia" w:ascii="黑体" w:hAnsi="黑体" w:eastAsia="黑体" w:cs="黑体"/>
          <w:bCs/>
          <w:szCs w:val="32"/>
          <w:u w:val="none"/>
        </w:rPr>
        <w:t>、</w:t>
      </w:r>
      <w:r>
        <w:rPr>
          <w:rFonts w:hint="eastAsia" w:ascii="黑体" w:hAnsi="黑体" w:eastAsia="黑体" w:cs="黑体"/>
          <w:bCs/>
          <w:szCs w:val="32"/>
          <w:u w:val="none"/>
          <w:lang w:eastAsia="zh-CN"/>
        </w:rPr>
        <w:t>编制</w:t>
      </w:r>
      <w:r>
        <w:rPr>
          <w:rFonts w:hint="eastAsia" w:ascii="黑体" w:hAnsi="黑体" w:eastAsia="黑体" w:cs="黑体"/>
          <w:bCs/>
          <w:szCs w:val="32"/>
          <w:u w:val="none"/>
        </w:rPr>
        <w:t>过程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Lines="0" w:afterLines="0" w:line="560" w:lineRule="exact"/>
        <w:ind w:firstLine="880"/>
        <w:jc w:val="both"/>
        <w:textAlignment w:val="auto"/>
        <w:rPr>
          <w:rFonts w:hint="default" w:ascii="仿宋_GB2312" w:eastAsia="仿宋_GB2312"/>
          <w:szCs w:val="32"/>
          <w:u w:val="none"/>
          <w:lang w:val="en-US" w:eastAsia="zh-CN"/>
        </w:rPr>
      </w:pPr>
      <w:r>
        <w:rPr>
          <w:rFonts w:hint="eastAsia" w:ascii="Times New Roman" w:hAnsi="Times New Roman"/>
          <w:u w:val="none"/>
          <w:lang w:val="en-US" w:eastAsia="zh-CN"/>
        </w:rPr>
        <w:t>《深圳国家高新区扩区方案》</w:t>
      </w:r>
      <w:r>
        <w:rPr>
          <w:rFonts w:hint="eastAsia"/>
          <w:u w:val="none"/>
          <w:lang w:val="en-US" w:eastAsia="zh-CN"/>
        </w:rPr>
        <w:t>印发后，区委区政府高度重视，要求抓紧出台政策措施，加快龙华园区发展。</w:t>
      </w:r>
      <w:r>
        <w:rPr>
          <w:rFonts w:hint="eastAsia" w:ascii="仿宋_GB2312"/>
          <w:szCs w:val="32"/>
          <w:u w:val="none"/>
          <w:lang w:val="en-US" w:eastAsia="zh-CN"/>
        </w:rPr>
        <w:t>2019年9月</w:t>
      </w:r>
      <w:r>
        <w:rPr>
          <w:rFonts w:hint="eastAsia" w:ascii="仿宋_GB2312"/>
          <w:szCs w:val="32"/>
          <w:u w:val="none"/>
          <w:lang w:eastAsia="zh-CN"/>
        </w:rPr>
        <w:t>，我局成立了《若干措施》编制小组，扎实开展编制工作</w:t>
      </w:r>
      <w:r>
        <w:rPr>
          <w:rFonts w:hint="eastAsia" w:ascii="仿宋_GB2312"/>
          <w:szCs w:val="32"/>
          <w:u w:val="none"/>
        </w:rPr>
        <w:t>。</w:t>
      </w:r>
      <w:r>
        <w:rPr>
          <w:rFonts w:hint="eastAsia" w:ascii="仿宋_GB2312"/>
          <w:szCs w:val="32"/>
          <w:u w:val="none"/>
          <w:lang w:eastAsia="zh-CN"/>
        </w:rPr>
        <w:t>在对园区充分调研的基础上，</w:t>
      </w:r>
      <w:r>
        <w:rPr>
          <w:rFonts w:hint="eastAsia" w:ascii="仿宋_GB2312"/>
          <w:szCs w:val="32"/>
          <w:u w:val="none"/>
        </w:rPr>
        <w:t>结合龙华园区定位目标</w:t>
      </w:r>
      <w:r>
        <w:rPr>
          <w:rFonts w:hint="eastAsia" w:ascii="仿宋_GB2312"/>
          <w:szCs w:val="32"/>
          <w:u w:val="none"/>
          <w:lang w:eastAsia="zh-CN"/>
        </w:rPr>
        <w:t>，广泛</w:t>
      </w:r>
      <w:r>
        <w:rPr>
          <w:rFonts w:hint="eastAsia" w:ascii="仿宋_GB2312"/>
          <w:szCs w:val="32"/>
          <w:u w:val="none"/>
        </w:rPr>
        <w:t>吸取先进省市及其他区高新园区产业发展经验和做法，于2019年</w:t>
      </w:r>
      <w:r>
        <w:rPr>
          <w:rFonts w:hint="eastAsia" w:ascii="仿宋_GB2312"/>
          <w:szCs w:val="32"/>
          <w:u w:val="none"/>
          <w:lang w:val="en-US" w:eastAsia="zh-CN"/>
        </w:rPr>
        <w:t>10月</w:t>
      </w:r>
      <w:r>
        <w:rPr>
          <w:rFonts w:hint="eastAsia" w:ascii="仿宋_GB2312"/>
          <w:szCs w:val="32"/>
          <w:u w:val="none"/>
        </w:rPr>
        <w:t>形成</w:t>
      </w:r>
      <w:r>
        <w:rPr>
          <w:rFonts w:hint="eastAsia" w:ascii="仿宋_GB2312"/>
          <w:szCs w:val="32"/>
          <w:u w:val="none"/>
          <w:lang w:eastAsia="zh-CN"/>
        </w:rPr>
        <w:t>《若干措施》</w:t>
      </w:r>
      <w:r>
        <w:rPr>
          <w:rFonts w:hint="eastAsia" w:ascii="仿宋_GB2312"/>
          <w:szCs w:val="32"/>
          <w:u w:val="none"/>
        </w:rPr>
        <w:t>初稿</w:t>
      </w:r>
      <w:r>
        <w:rPr>
          <w:rFonts w:hint="eastAsia" w:ascii="仿宋_GB2312"/>
          <w:szCs w:val="32"/>
          <w:u w:val="none"/>
          <w:lang w:eastAsia="zh-CN"/>
        </w:rPr>
        <w:t>。建民区长就《若干措施》编制工作</w:t>
      </w:r>
      <w:r>
        <w:rPr>
          <w:rFonts w:hint="eastAsia" w:ascii="仿宋_GB2312"/>
          <w:szCs w:val="32"/>
          <w:u w:val="none"/>
          <w:lang w:val="en-US" w:eastAsia="zh-CN"/>
        </w:rPr>
        <w:t>6次组织专题研讨，</w:t>
      </w:r>
      <w:r>
        <w:rPr>
          <w:rFonts w:hint="eastAsia" w:ascii="仿宋_GB2312" w:hAnsi="华文仿宋" w:eastAsia="仿宋_GB2312"/>
          <w:sz w:val="32"/>
          <w:u w:val="none"/>
        </w:rPr>
        <w:t>亲自提出思路，</w:t>
      </w:r>
      <w:r>
        <w:rPr>
          <w:rFonts w:hint="eastAsia" w:ascii="仿宋_GB2312" w:hAnsi="华文仿宋"/>
          <w:sz w:val="32"/>
          <w:u w:val="none"/>
          <w:lang w:eastAsia="zh-CN"/>
        </w:rPr>
        <w:t>编制小组据此进行了修改完善。</w:t>
      </w:r>
      <w:r>
        <w:rPr>
          <w:rFonts w:hint="eastAsia" w:ascii="仿宋_GB2312"/>
          <w:szCs w:val="32"/>
          <w:u w:val="none"/>
        </w:rPr>
        <w:t>2019年9月和11月</w:t>
      </w:r>
      <w:r>
        <w:rPr>
          <w:rFonts w:hint="eastAsia" w:ascii="仿宋_GB2312"/>
          <w:szCs w:val="32"/>
          <w:u w:val="none"/>
          <w:lang w:eastAsia="zh-CN"/>
        </w:rPr>
        <w:t>，两次</w:t>
      </w:r>
      <w:r>
        <w:rPr>
          <w:rFonts w:hint="eastAsia" w:ascii="仿宋_GB2312"/>
          <w:szCs w:val="32"/>
          <w:u w:val="none"/>
        </w:rPr>
        <w:t>开展专家咨询会，</w:t>
      </w:r>
      <w:r>
        <w:rPr>
          <w:rFonts w:hint="eastAsia" w:ascii="仿宋_GB2312"/>
          <w:szCs w:val="32"/>
          <w:u w:val="none"/>
          <w:lang w:eastAsia="zh-CN"/>
        </w:rPr>
        <w:t>充分吸收专家意见进行修改；</w:t>
      </w:r>
      <w:r>
        <w:rPr>
          <w:rFonts w:ascii="仿宋_GB2312"/>
          <w:szCs w:val="32"/>
          <w:u w:val="none"/>
        </w:rPr>
        <w:t>2020</w:t>
      </w:r>
      <w:r>
        <w:rPr>
          <w:rFonts w:hint="eastAsia" w:ascii="仿宋_GB2312"/>
          <w:szCs w:val="32"/>
          <w:u w:val="none"/>
        </w:rPr>
        <w:t>年</w:t>
      </w:r>
      <w:r>
        <w:rPr>
          <w:rFonts w:ascii="仿宋_GB2312"/>
          <w:szCs w:val="32"/>
          <w:u w:val="none"/>
        </w:rPr>
        <w:t>1</w:t>
      </w:r>
      <w:r>
        <w:rPr>
          <w:rFonts w:hint="eastAsia" w:ascii="仿宋_GB2312"/>
          <w:szCs w:val="32"/>
          <w:u w:val="none"/>
        </w:rPr>
        <w:t>月</w:t>
      </w:r>
      <w:r>
        <w:rPr>
          <w:rFonts w:hint="eastAsia" w:ascii="仿宋_GB2312"/>
          <w:szCs w:val="32"/>
          <w:u w:val="none"/>
          <w:lang w:eastAsia="zh-CN"/>
        </w:rPr>
        <w:t>、</w:t>
      </w:r>
      <w:r>
        <w:rPr>
          <w:rFonts w:hint="eastAsia" w:ascii="仿宋_GB2312"/>
          <w:szCs w:val="32"/>
          <w:u w:val="none"/>
          <w:lang w:val="en-US" w:eastAsia="zh-CN"/>
        </w:rPr>
        <w:t>5月、7月，三次</w:t>
      </w:r>
      <w:r>
        <w:rPr>
          <w:rFonts w:hint="eastAsia" w:ascii="仿宋_GB2312"/>
          <w:szCs w:val="32"/>
          <w:u w:val="none"/>
          <w:lang w:eastAsia="zh-CN"/>
        </w:rPr>
        <w:t>向</w:t>
      </w:r>
      <w:r>
        <w:rPr>
          <w:rFonts w:hint="eastAsia" w:ascii="仿宋_GB2312"/>
          <w:szCs w:val="32"/>
          <w:u w:val="none"/>
        </w:rPr>
        <w:t>各相关单位</w:t>
      </w:r>
      <w:r>
        <w:rPr>
          <w:rFonts w:hint="eastAsia" w:ascii="仿宋_GB2312"/>
          <w:szCs w:val="32"/>
          <w:u w:val="none"/>
          <w:lang w:eastAsia="zh-CN"/>
        </w:rPr>
        <w:t>征求</w:t>
      </w:r>
      <w:r>
        <w:rPr>
          <w:rFonts w:hint="eastAsia" w:ascii="仿宋_GB2312"/>
          <w:szCs w:val="32"/>
          <w:u w:val="none"/>
        </w:rPr>
        <w:t>意见</w:t>
      </w:r>
      <w:r>
        <w:rPr>
          <w:rFonts w:hint="eastAsia" w:ascii="仿宋_GB2312"/>
          <w:szCs w:val="32"/>
          <w:u w:val="none"/>
          <w:lang w:eastAsia="zh-CN"/>
        </w:rPr>
        <w:t>；</w:t>
      </w:r>
      <w:r>
        <w:rPr>
          <w:rFonts w:hint="eastAsia" w:ascii="仿宋_GB2312"/>
          <w:szCs w:val="32"/>
          <w:u w:val="none"/>
          <w:lang w:val="en-US" w:eastAsia="zh-CN"/>
        </w:rPr>
        <w:t>2020年5月至7月，</w:t>
      </w:r>
      <w:r>
        <w:rPr>
          <w:rFonts w:hint="eastAsia" w:ascii="仿宋_GB2312"/>
          <w:szCs w:val="32"/>
          <w:u w:val="none"/>
          <w:lang w:eastAsia="zh-CN"/>
        </w:rPr>
        <w:t>向社会公开征求意见，并召开座谈会</w:t>
      </w:r>
      <w:r>
        <w:rPr>
          <w:rFonts w:hint="eastAsia" w:ascii="仿宋_GB2312"/>
          <w:szCs w:val="32"/>
          <w:u w:val="none"/>
          <w:lang w:val="en-US" w:eastAsia="zh-CN"/>
        </w:rPr>
        <w:t>向专家和园区内企业征求意见；2020年7月24日，王卫区长听取《若干措施》编制情况并提出修改意见。我局根据区领导、各单位反馈意见和社会意见进一步修改完善，最终形成此《若干措施》。</w:t>
      </w:r>
    </w:p>
    <w:p>
      <w:pPr>
        <w:pStyle w:val="13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left="0" w:firstLine="640" w:firstLineChars="200"/>
        <w:textAlignment w:val="auto"/>
        <w:outlineLvl w:val="0"/>
        <w:rPr>
          <w:rFonts w:ascii="黑体" w:hAnsi="黑体" w:eastAsia="黑体" w:cs="黑体"/>
          <w:bCs/>
          <w:szCs w:val="32"/>
          <w:u w:val="none"/>
        </w:rPr>
      </w:pPr>
      <w:r>
        <w:rPr>
          <w:rFonts w:hint="eastAsia" w:ascii="黑体" w:hAnsi="黑体" w:eastAsia="黑体" w:cs="黑体"/>
          <w:bCs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bCs/>
          <w:szCs w:val="32"/>
          <w:u w:val="none"/>
        </w:rPr>
        <w:t>、</w:t>
      </w:r>
      <w:r>
        <w:rPr>
          <w:rFonts w:hint="eastAsia" w:ascii="黑体" w:hAnsi="黑体" w:eastAsia="黑体" w:cs="黑体"/>
          <w:bCs/>
          <w:szCs w:val="32"/>
          <w:u w:val="none"/>
          <w:lang w:eastAsia="zh-CN"/>
        </w:rPr>
        <w:t>总体思路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u w:val="none"/>
        </w:rPr>
      </w:pPr>
      <w:r>
        <w:rPr>
          <w:rFonts w:hint="eastAsia"/>
          <w:u w:val="none"/>
          <w:lang w:eastAsia="zh-CN"/>
        </w:rPr>
        <w:t>为</w:t>
      </w:r>
      <w:r>
        <w:rPr>
          <w:rFonts w:hint="eastAsia"/>
          <w:u w:val="none"/>
        </w:rPr>
        <w:t>加速园区内创新要素和高端产业集聚，</w:t>
      </w:r>
      <w:r>
        <w:rPr>
          <w:rFonts w:hint="eastAsia"/>
          <w:u w:val="none"/>
          <w:lang w:eastAsia="zh-CN"/>
        </w:rPr>
        <w:t>全面提升产业能级，</w:t>
      </w:r>
      <w:r>
        <w:rPr>
          <w:rFonts w:hint="eastAsia"/>
          <w:u w:val="none"/>
        </w:rPr>
        <w:t>推动园区高质量发展，将</w:t>
      </w:r>
      <w:r>
        <w:rPr>
          <w:rFonts w:hint="eastAsia"/>
          <w:u w:val="none"/>
          <w:lang w:eastAsia="zh-CN"/>
        </w:rPr>
        <w:t>高新区</w:t>
      </w:r>
      <w:r>
        <w:rPr>
          <w:rFonts w:hint="eastAsia"/>
          <w:u w:val="none"/>
        </w:rPr>
        <w:t>龙华园区建设成为全国知名、湾区一流的现代化产业园区，</w:t>
      </w:r>
      <w:r>
        <w:rPr>
          <w:rFonts w:hint="eastAsia"/>
          <w:u w:val="none"/>
          <w:lang w:eastAsia="zh-CN"/>
        </w:rPr>
        <w:t>《若干措施》在与区内现有产业政策充分衔接的基础上，突出重点扶持领域与环节，着力构建科学合理、特色鲜明、精准有力的高新园区产业扶持政策。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坚持创新引领。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激发创新驱动内生动力，发挥创新对产业发展的引领支撑作用是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深圳高新区龙华园区高质量发展的关键所在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《若干措施》加强优质创新型企业的引进与培育，大力支持重点领域核心技术突破，并鼓励园区内科技成果转移转化，全面提高园区科技创新能力，促进产业转型发展。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88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（二）强调问题导向。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立足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龙华园区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现状问题，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制定针对性政策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引导园区良性发展。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由于早期规划建设缓慢、产业监管不力，园区内业态混杂，产业配套欠缺，无法充分发挥龙华园区的产业集聚和带动效应。《若干措施》明确了重点扶持的产业领域，并鼓励引进住宿、餐饮等产业配套，加快提升园区配套环境，提升对人才的吸引力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880"/>
        <w:jc w:val="both"/>
        <w:textAlignment w:val="auto"/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（三）做到充分衔接。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在区内现有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产业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政策体系框架下，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《若干措施》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着眼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政策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覆盖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疏漏和不足的环节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，出台补充性条款，并在标准设置上与现有政策做到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充分衔接，避免重复扶持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造成园区内外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shd w:val="clear" w:color="auto" w:fill="FFFFFF"/>
          <w:lang w:eastAsia="zh-CN"/>
        </w:rPr>
        <w:t>政策环境明显差异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shd w:val="clear" w:color="auto" w:fill="FFFFFF"/>
          <w:lang w:eastAsia="zh-CN"/>
        </w:rPr>
        <w:t>（四）强调可操作性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政策条款分为核准制和评审制两种扶持方式。其中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  <w:t>采用核准制的条款明确资金扶持的刚性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条件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  <w:t>，避免擅定标准、擅定比例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  <w:t>采用评审制的条款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明确申报流程，依据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  <w:t>创新成果、经济效益、社会效益等多维度比较后评选出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一定数量的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  <w:t>项目进行奖励，单项条款每年奖励项目不超过10项，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奖励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  <w:t>额度可量化。</w:t>
      </w:r>
    </w:p>
    <w:p>
      <w:pPr>
        <w:pStyle w:val="13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left="0" w:firstLine="640" w:firstLineChars="200"/>
        <w:textAlignment w:val="auto"/>
        <w:outlineLvl w:val="0"/>
        <w:rPr>
          <w:rFonts w:ascii="黑体" w:hAnsi="黑体" w:eastAsia="黑体" w:cs="黑体"/>
          <w:bCs/>
          <w:szCs w:val="32"/>
          <w:u w:val="none"/>
        </w:rPr>
      </w:pPr>
      <w:r>
        <w:rPr>
          <w:rFonts w:hint="eastAsia" w:ascii="黑体" w:hAnsi="黑体" w:eastAsia="黑体" w:cs="黑体"/>
          <w:bCs/>
          <w:szCs w:val="32"/>
          <w:u w:val="none"/>
        </w:rPr>
        <w:t>四、主要内容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szCs w:val="32"/>
          <w:u w:val="none"/>
        </w:rPr>
      </w:pPr>
      <w:r>
        <w:rPr>
          <w:rFonts w:hint="eastAsia" w:ascii="仿宋_GB2312" w:hAnsi="宋体"/>
          <w:szCs w:val="32"/>
          <w:u w:val="none"/>
          <w:lang w:eastAsia="zh-CN"/>
        </w:rPr>
        <w:t>本《若干措施》</w:t>
      </w:r>
      <w:r>
        <w:rPr>
          <w:rFonts w:hint="eastAsia" w:ascii="仿宋_GB2312" w:hAnsi="宋体"/>
          <w:szCs w:val="32"/>
          <w:highlight w:val="none"/>
          <w:u w:val="none"/>
        </w:rPr>
        <w:t>共有</w:t>
      </w:r>
      <w:r>
        <w:rPr>
          <w:rFonts w:hint="eastAsia" w:ascii="仿宋_GB2312" w:hAnsi="宋体"/>
          <w:szCs w:val="32"/>
          <w:highlight w:val="none"/>
          <w:u w:val="none"/>
          <w:lang w:eastAsia="zh-CN"/>
        </w:rPr>
        <w:t>七章二十</w:t>
      </w:r>
      <w:r>
        <w:rPr>
          <w:rFonts w:hint="eastAsia" w:ascii="仿宋_GB2312" w:hAnsi="宋体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仿宋_GB2312" w:hAnsi="宋体"/>
          <w:szCs w:val="32"/>
          <w:highlight w:val="none"/>
          <w:u w:val="none"/>
          <w:lang w:eastAsia="zh-CN"/>
        </w:rPr>
        <w:t>条</w:t>
      </w:r>
      <w:r>
        <w:rPr>
          <w:rFonts w:hint="eastAsia" w:ascii="仿宋_GB2312" w:hAnsi="宋体"/>
          <w:szCs w:val="32"/>
          <w:highlight w:val="none"/>
          <w:u w:val="none"/>
        </w:rPr>
        <w:t>，</w:t>
      </w:r>
      <w:r>
        <w:rPr>
          <w:rFonts w:hint="eastAsia" w:ascii="仿宋_GB2312" w:hAnsi="宋体"/>
          <w:szCs w:val="32"/>
          <w:highlight w:val="none"/>
          <w:u w:val="none"/>
          <w:lang w:eastAsia="zh-CN"/>
        </w:rPr>
        <w:t>具体内容如下：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rFonts w:hint="eastAsia" w:eastAsia="仿宋_GB2312"/>
          <w:szCs w:val="32"/>
          <w:u w:val="none"/>
          <w:lang w:val="en-US" w:eastAsia="zh-CN"/>
        </w:rPr>
      </w:pPr>
      <w:r>
        <w:rPr>
          <w:rFonts w:hint="eastAsia"/>
          <w:b/>
          <w:bCs/>
          <w:szCs w:val="32"/>
          <w:u w:val="none"/>
          <w:lang w:eastAsia="zh-CN"/>
        </w:rPr>
        <w:t>第一章</w:t>
      </w:r>
      <w:r>
        <w:rPr>
          <w:rFonts w:hint="eastAsia"/>
          <w:b/>
          <w:bCs/>
          <w:szCs w:val="32"/>
          <w:u w:val="none"/>
          <w:lang w:val="en-US" w:eastAsia="zh-CN"/>
        </w:rPr>
        <w:t>总则，</w:t>
      </w:r>
      <w:r>
        <w:rPr>
          <w:rFonts w:hint="eastAsia"/>
          <w:b w:val="0"/>
          <w:bCs w:val="0"/>
          <w:szCs w:val="32"/>
          <w:u w:val="none"/>
          <w:lang w:val="en-US" w:eastAsia="zh-CN"/>
        </w:rPr>
        <w:t>共5条，</w:t>
      </w:r>
      <w:r>
        <w:rPr>
          <w:rFonts w:hint="eastAsia"/>
          <w:szCs w:val="32"/>
          <w:u w:val="none"/>
          <w:lang w:val="en-US" w:eastAsia="zh-CN"/>
        </w:rPr>
        <w:t>明确了</w:t>
      </w:r>
      <w:r>
        <w:rPr>
          <w:rFonts w:hint="eastAsia"/>
          <w:szCs w:val="32"/>
          <w:u w:val="none"/>
          <w:lang w:eastAsia="zh-CN"/>
        </w:rPr>
        <w:t>编制依据</w:t>
      </w:r>
      <w:r>
        <w:rPr>
          <w:rFonts w:hint="eastAsia"/>
          <w:szCs w:val="32"/>
          <w:u w:val="none"/>
          <w:lang w:val="en-US" w:eastAsia="zh-CN"/>
        </w:rPr>
        <w:t>、适用范围、</w:t>
      </w:r>
      <w:r>
        <w:rPr>
          <w:rFonts w:hint="eastAsia"/>
          <w:szCs w:val="32"/>
          <w:u w:val="none"/>
        </w:rPr>
        <w:t>扶持领域</w:t>
      </w:r>
      <w:r>
        <w:rPr>
          <w:rFonts w:hint="eastAsia"/>
          <w:szCs w:val="32"/>
          <w:u w:val="none"/>
          <w:lang w:eastAsia="zh-CN"/>
        </w:rPr>
        <w:t>、扶持对象</w:t>
      </w:r>
      <w:r>
        <w:rPr>
          <w:rFonts w:hint="eastAsia"/>
          <w:szCs w:val="32"/>
          <w:u w:val="none"/>
          <w:lang w:val="en-US" w:eastAsia="zh-CN"/>
        </w:rPr>
        <w:t>和资助方式等事项。其中</w:t>
      </w:r>
      <w:r>
        <w:rPr>
          <w:rFonts w:hint="eastAsia" w:ascii="仿宋_GB2312" w:hAnsi="宋体"/>
          <w:szCs w:val="32"/>
          <w:u w:val="none"/>
          <w:lang w:eastAsia="zh-CN"/>
        </w:rPr>
        <w:t>《若干措施》</w:t>
      </w:r>
      <w:r>
        <w:rPr>
          <w:rFonts w:hint="eastAsia" w:ascii="仿宋_GB2312" w:hAnsi="宋体"/>
          <w:szCs w:val="32"/>
          <w:highlight w:val="none"/>
          <w:u w:val="none"/>
          <w:lang w:eastAsia="zh-CN"/>
        </w:rPr>
        <w:t>适用范围</w:t>
      </w:r>
      <w:r>
        <w:rPr>
          <w:rFonts w:hint="eastAsia"/>
          <w:u w:val="none"/>
          <w:lang w:eastAsia="zh-CN"/>
        </w:rPr>
        <w:t>为龙华园区，规划面积</w:t>
      </w:r>
      <w:r>
        <w:rPr>
          <w:rFonts w:hint="eastAsia"/>
          <w:u w:val="none"/>
        </w:rPr>
        <w:t>17.78平方公里，包括九龙山智能科技城-福民创新园片区和观澜高新园片区。</w:t>
      </w:r>
      <w:r>
        <w:rPr>
          <w:rFonts w:hint="eastAsia"/>
          <w:u w:val="none"/>
          <w:lang w:eastAsia="zh-CN"/>
        </w:rPr>
        <w:t>扶持领域为</w:t>
      </w:r>
      <w:r>
        <w:rPr>
          <w:rFonts w:hint="eastAsia"/>
          <w:u w:val="none"/>
        </w:rPr>
        <w:t>移动智能终端、人工智能、生物医药和新一代通信技术、智能制造、数字经济</w:t>
      </w:r>
      <w:r>
        <w:rPr>
          <w:rFonts w:hint="eastAsia"/>
          <w:u w:val="none"/>
        </w:rPr>
        <w:t>相关领域。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rFonts w:hint="default"/>
          <w:szCs w:val="32"/>
          <w:u w:val="none"/>
          <w:lang w:val="en-US" w:eastAsia="zh-CN"/>
        </w:rPr>
      </w:pPr>
      <w:r>
        <w:rPr>
          <w:rFonts w:hint="eastAsia"/>
          <w:b/>
          <w:bCs/>
          <w:szCs w:val="32"/>
          <w:u w:val="none"/>
          <w:lang w:val="en-US" w:eastAsia="zh-CN"/>
        </w:rPr>
        <w:t>第二章创新型企业引进培育，</w:t>
      </w:r>
      <w:r>
        <w:rPr>
          <w:rFonts w:hint="eastAsia"/>
          <w:b w:val="0"/>
          <w:bCs w:val="0"/>
          <w:szCs w:val="32"/>
          <w:u w:val="none"/>
          <w:lang w:val="en-US" w:eastAsia="zh-CN"/>
        </w:rPr>
        <w:t>共2条，</w:t>
      </w:r>
      <w:r>
        <w:rPr>
          <w:rFonts w:hint="eastAsia"/>
          <w:szCs w:val="32"/>
          <w:u w:val="none"/>
          <w:lang w:val="en-US" w:eastAsia="zh-CN"/>
        </w:rPr>
        <w:t>从引进优质创新型企业和奖励优质供应商企业方面予以资助，加快园区内创新型企业集聚和培育，提升园区内产业链水平。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rFonts w:hint="default" w:eastAsia="仿宋_GB2312"/>
          <w:u w:val="none"/>
          <w:lang w:val="en-US" w:eastAsia="zh-CN"/>
        </w:rPr>
      </w:pPr>
      <w:r>
        <w:rPr>
          <w:rFonts w:hint="eastAsia"/>
          <w:b/>
          <w:bCs/>
          <w:szCs w:val="32"/>
          <w:u w:val="none"/>
          <w:lang w:val="en-US" w:eastAsia="zh-CN"/>
        </w:rPr>
        <w:t>第三章</w:t>
      </w:r>
      <w:r>
        <w:rPr>
          <w:rFonts w:hint="eastAsia"/>
          <w:b/>
          <w:bCs/>
          <w:szCs w:val="32"/>
          <w:u w:val="none"/>
        </w:rPr>
        <w:t>企业研发创新鼓励</w:t>
      </w:r>
      <w:r>
        <w:rPr>
          <w:rFonts w:hint="eastAsia"/>
          <w:b/>
          <w:bCs/>
          <w:szCs w:val="32"/>
          <w:u w:val="none"/>
          <w:lang w:eastAsia="zh-CN"/>
        </w:rPr>
        <w:t>，</w:t>
      </w:r>
      <w:r>
        <w:rPr>
          <w:rFonts w:hint="eastAsia"/>
          <w:b w:val="0"/>
          <w:bCs w:val="0"/>
          <w:szCs w:val="32"/>
          <w:u w:val="none"/>
          <w:lang w:eastAsia="zh-CN"/>
        </w:rPr>
        <w:t>共</w:t>
      </w:r>
      <w:r>
        <w:rPr>
          <w:rFonts w:hint="eastAsia"/>
          <w:b w:val="0"/>
          <w:bCs w:val="0"/>
          <w:szCs w:val="32"/>
          <w:u w:val="none"/>
          <w:lang w:val="en-US" w:eastAsia="zh-CN"/>
        </w:rPr>
        <w:t>3条，</w:t>
      </w:r>
      <w:r>
        <w:rPr>
          <w:rFonts w:hint="eastAsia"/>
          <w:szCs w:val="32"/>
          <w:u w:val="none"/>
        </w:rPr>
        <w:t>从</w:t>
      </w:r>
      <w:r>
        <w:rPr>
          <w:rFonts w:hint="eastAsia"/>
          <w:szCs w:val="32"/>
          <w:u w:val="none"/>
          <w:lang w:val="en-US" w:eastAsia="zh-CN"/>
        </w:rPr>
        <w:t>支持支持重点领域关键技术研发以及拓展新技术应用场景方面</w:t>
      </w:r>
      <w:r>
        <w:rPr>
          <w:rFonts w:hint="eastAsia"/>
          <w:u w:val="none"/>
        </w:rPr>
        <w:t>予以</w:t>
      </w:r>
      <w:r>
        <w:rPr>
          <w:rFonts w:hint="eastAsia"/>
          <w:u w:val="none"/>
          <w:lang w:eastAsia="zh-CN"/>
        </w:rPr>
        <w:t>资助</w:t>
      </w:r>
      <w:r>
        <w:rPr>
          <w:rFonts w:hint="eastAsia"/>
          <w:u w:val="none"/>
        </w:rPr>
        <w:t>，</w:t>
      </w:r>
      <w:r>
        <w:rPr>
          <w:rFonts w:hint="eastAsia"/>
          <w:u w:val="none"/>
          <w:lang w:eastAsia="zh-CN"/>
        </w:rPr>
        <w:t>并对核心研发团队进行配套奖励，</w:t>
      </w:r>
      <w:r>
        <w:rPr>
          <w:rFonts w:hint="eastAsia"/>
          <w:u w:val="none"/>
          <w:lang w:val="en-US" w:eastAsia="zh-CN"/>
        </w:rPr>
        <w:t>推动企业聚焦重点关键技术，培育壮大新动能，</w:t>
      </w:r>
      <w:r>
        <w:rPr>
          <w:rFonts w:hint="eastAsia"/>
          <w:u w:val="none"/>
        </w:rPr>
        <w:t>激发创新驱动内生动力</w:t>
      </w:r>
      <w:r>
        <w:rPr>
          <w:rFonts w:hint="eastAsia"/>
          <w:u w:val="none"/>
          <w:lang w:eastAsia="zh-CN"/>
        </w:rPr>
        <w:t>，</w:t>
      </w:r>
      <w:r>
        <w:rPr>
          <w:rFonts w:hint="eastAsia"/>
          <w:u w:val="none"/>
        </w:rPr>
        <w:t>提升</w:t>
      </w:r>
      <w:r>
        <w:rPr>
          <w:rFonts w:hint="eastAsia"/>
          <w:u w:val="none"/>
          <w:lang w:eastAsia="zh-CN"/>
        </w:rPr>
        <w:t>重点领域产业</w:t>
      </w:r>
      <w:r>
        <w:rPr>
          <w:rFonts w:hint="eastAsia"/>
          <w:u w:val="none"/>
        </w:rPr>
        <w:t>发展质量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rFonts w:hint="default" w:eastAsia="仿宋_GB2312"/>
          <w:szCs w:val="32"/>
          <w:u w:val="none"/>
          <w:lang w:val="en-US" w:eastAsia="zh-CN"/>
        </w:rPr>
      </w:pPr>
      <w:r>
        <w:rPr>
          <w:rFonts w:hint="eastAsia"/>
          <w:b/>
          <w:bCs/>
          <w:szCs w:val="32"/>
          <w:u w:val="none"/>
          <w:lang w:val="en-US" w:eastAsia="zh-CN"/>
        </w:rPr>
        <w:t>第四章</w:t>
      </w:r>
      <w:r>
        <w:rPr>
          <w:rFonts w:hint="eastAsia"/>
          <w:b/>
          <w:bCs/>
          <w:szCs w:val="32"/>
          <w:u w:val="none"/>
        </w:rPr>
        <w:t>科技成果转移转化</w:t>
      </w:r>
      <w:r>
        <w:rPr>
          <w:rFonts w:hint="eastAsia"/>
          <w:b/>
          <w:bCs/>
          <w:szCs w:val="32"/>
          <w:u w:val="none"/>
          <w:lang w:eastAsia="zh-CN"/>
        </w:rPr>
        <w:t>，</w:t>
      </w:r>
      <w:r>
        <w:rPr>
          <w:rFonts w:hint="eastAsia"/>
          <w:b w:val="0"/>
          <w:bCs w:val="0"/>
          <w:szCs w:val="32"/>
          <w:u w:val="none"/>
          <w:lang w:eastAsia="zh-CN"/>
        </w:rPr>
        <w:t>共</w:t>
      </w:r>
      <w:r>
        <w:rPr>
          <w:rFonts w:hint="eastAsia"/>
          <w:b w:val="0"/>
          <w:bCs w:val="0"/>
          <w:szCs w:val="32"/>
          <w:u w:val="none"/>
          <w:lang w:val="en-US" w:eastAsia="zh-CN"/>
        </w:rPr>
        <w:t>4条，</w:t>
      </w:r>
      <w:r>
        <w:rPr>
          <w:rFonts w:hint="eastAsia"/>
          <w:szCs w:val="32"/>
          <w:u w:val="none"/>
        </w:rPr>
        <w:t>从</w:t>
      </w:r>
      <w:r>
        <w:rPr>
          <w:rFonts w:hint="eastAsia"/>
          <w:szCs w:val="32"/>
          <w:u w:val="none"/>
          <w:lang w:eastAsia="zh-CN"/>
        </w:rPr>
        <w:t>鼓励</w:t>
      </w:r>
      <w:r>
        <w:rPr>
          <w:rFonts w:hint="eastAsia"/>
          <w:szCs w:val="32"/>
          <w:u w:val="none"/>
        </w:rPr>
        <w:t>技术转移</w:t>
      </w:r>
      <w:r>
        <w:rPr>
          <w:rFonts w:hint="eastAsia"/>
          <w:szCs w:val="32"/>
          <w:u w:val="none"/>
          <w:lang w:eastAsia="zh-CN"/>
        </w:rPr>
        <w:t>服务</w:t>
      </w:r>
      <w:r>
        <w:rPr>
          <w:rFonts w:hint="eastAsia"/>
          <w:szCs w:val="32"/>
          <w:u w:val="none"/>
        </w:rPr>
        <w:t>机构</w:t>
      </w:r>
      <w:r>
        <w:rPr>
          <w:rFonts w:hint="eastAsia"/>
          <w:szCs w:val="32"/>
          <w:u w:val="none"/>
          <w:lang w:eastAsia="zh-CN"/>
        </w:rPr>
        <w:t>在园区内</w:t>
      </w:r>
      <w:r>
        <w:rPr>
          <w:rFonts w:hint="eastAsia"/>
          <w:szCs w:val="32"/>
          <w:u w:val="none"/>
          <w:lang w:val="en-US" w:eastAsia="zh-CN"/>
        </w:rPr>
        <w:t>设立及</w:t>
      </w:r>
      <w:r>
        <w:rPr>
          <w:rFonts w:hint="eastAsia"/>
          <w:szCs w:val="32"/>
          <w:u w:val="none"/>
          <w:lang w:eastAsia="zh-CN"/>
        </w:rPr>
        <w:t>开展业务</w:t>
      </w:r>
      <w:r>
        <w:rPr>
          <w:rFonts w:hint="eastAsia"/>
          <w:szCs w:val="32"/>
          <w:u w:val="none"/>
        </w:rPr>
        <w:t>、鼓励企业承接科技成果转化以及加大中试环节扶持</w:t>
      </w:r>
      <w:r>
        <w:rPr>
          <w:rFonts w:hint="eastAsia"/>
          <w:u w:val="none"/>
        </w:rPr>
        <w:t>方面予以</w:t>
      </w:r>
      <w:r>
        <w:rPr>
          <w:rFonts w:hint="eastAsia"/>
          <w:u w:val="none"/>
          <w:lang w:eastAsia="zh-CN"/>
        </w:rPr>
        <w:t>资助</w:t>
      </w:r>
      <w:r>
        <w:rPr>
          <w:rFonts w:hint="eastAsia"/>
          <w:u w:val="none"/>
        </w:rPr>
        <w:t>，强化科技创新与产业的对接</w:t>
      </w:r>
      <w:r>
        <w:rPr>
          <w:rFonts w:hint="eastAsia"/>
          <w:u w:val="none"/>
          <w:lang w:eastAsia="zh-CN"/>
        </w:rPr>
        <w:t>，</w:t>
      </w:r>
      <w:r>
        <w:rPr>
          <w:rFonts w:hint="eastAsia"/>
          <w:u w:val="none"/>
          <w:lang w:val="en-US" w:eastAsia="zh-CN"/>
        </w:rPr>
        <w:t>优化创新链条，避免创新链条中间环节塌陷。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rFonts w:hint="eastAsia" w:eastAsia="仿宋_GB2312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第五章</w:t>
      </w:r>
      <w:r>
        <w:rPr>
          <w:rFonts w:hint="eastAsia"/>
          <w:b/>
          <w:bCs/>
          <w:u w:val="none"/>
          <w:lang w:eastAsia="zh-CN"/>
        </w:rPr>
        <w:t>创新生态优化，</w:t>
      </w:r>
      <w:r>
        <w:rPr>
          <w:rFonts w:hint="eastAsia"/>
          <w:b w:val="0"/>
          <w:bCs w:val="0"/>
          <w:u w:val="none"/>
          <w:lang w:eastAsia="zh-CN"/>
        </w:rPr>
        <w:t>共</w:t>
      </w:r>
      <w:r>
        <w:rPr>
          <w:rFonts w:hint="eastAsia"/>
          <w:b w:val="0"/>
          <w:bCs w:val="0"/>
          <w:u w:val="none"/>
          <w:lang w:val="en-US" w:eastAsia="zh-CN"/>
        </w:rPr>
        <w:t>2条，</w:t>
      </w:r>
      <w:r>
        <w:rPr>
          <w:rFonts w:hint="eastAsia"/>
          <w:b w:val="0"/>
          <w:bCs w:val="0"/>
          <w:u w:val="none"/>
          <w:lang w:eastAsia="zh-CN"/>
        </w:rPr>
        <w:t>从推动知识产权证券化以及支持开展国际合作方面予以资助，激发企业创新活力，促进与全球创新资源的有效对接，</w:t>
      </w:r>
      <w:r>
        <w:rPr>
          <w:rFonts w:hint="eastAsia"/>
          <w:u w:val="none"/>
        </w:rPr>
        <w:t>助力企业技术突破和</w:t>
      </w:r>
      <w:r>
        <w:rPr>
          <w:rFonts w:hint="eastAsia"/>
          <w:u w:val="none"/>
          <w:lang w:eastAsia="zh-CN"/>
        </w:rPr>
        <w:t>园区创新</w:t>
      </w:r>
      <w:r>
        <w:rPr>
          <w:rFonts w:hint="eastAsia"/>
          <w:u w:val="none"/>
        </w:rPr>
        <w:t>发展</w:t>
      </w:r>
      <w:r>
        <w:rPr>
          <w:rFonts w:hint="eastAsia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u w:val="none"/>
        </w:rPr>
      </w:pPr>
      <w:r>
        <w:rPr>
          <w:rFonts w:hint="eastAsia"/>
          <w:b/>
          <w:bCs/>
          <w:u w:val="none"/>
          <w:lang w:eastAsia="zh-CN"/>
        </w:rPr>
        <w:t>第六章配套设施完善，</w:t>
      </w:r>
      <w:r>
        <w:rPr>
          <w:rFonts w:hint="eastAsia"/>
          <w:b w:val="0"/>
          <w:bCs w:val="0"/>
          <w:u w:val="none"/>
          <w:lang w:eastAsia="zh-CN"/>
        </w:rPr>
        <w:t>共</w:t>
      </w:r>
      <w:r>
        <w:rPr>
          <w:rFonts w:hint="eastAsia"/>
          <w:b w:val="0"/>
          <w:bCs w:val="0"/>
          <w:u w:val="none"/>
          <w:lang w:val="en-US" w:eastAsia="zh-CN"/>
        </w:rPr>
        <w:t>3条，</w:t>
      </w:r>
      <w:r>
        <w:rPr>
          <w:rFonts w:hint="eastAsia"/>
          <w:u w:val="none"/>
        </w:rPr>
        <w:t>从</w:t>
      </w:r>
      <w:r>
        <w:rPr>
          <w:rFonts w:hint="eastAsia"/>
          <w:u w:val="none"/>
          <w:lang w:eastAsia="zh-CN"/>
        </w:rPr>
        <w:t>降低员工租房成本</w:t>
      </w:r>
      <w:r>
        <w:rPr>
          <w:rFonts w:hint="eastAsia"/>
          <w:u w:val="none"/>
        </w:rPr>
        <w:t>、</w:t>
      </w:r>
      <w:r>
        <w:rPr>
          <w:rFonts w:hint="eastAsia"/>
          <w:u w:val="none"/>
          <w:lang w:val="en-US" w:eastAsia="zh-CN"/>
        </w:rPr>
        <w:t>支持生活配套空间拓展以及完善商务配套服务</w:t>
      </w:r>
      <w:r>
        <w:rPr>
          <w:rFonts w:hint="eastAsia"/>
          <w:u w:val="none"/>
        </w:rPr>
        <w:t>方面</w:t>
      </w:r>
      <w:r>
        <w:rPr>
          <w:rFonts w:hint="eastAsia"/>
          <w:u w:val="none"/>
          <w:lang w:eastAsia="zh-CN"/>
        </w:rPr>
        <w:t>予以资助</w:t>
      </w:r>
      <w:r>
        <w:rPr>
          <w:rFonts w:hint="eastAsia"/>
          <w:u w:val="none"/>
        </w:rPr>
        <w:t>，</w:t>
      </w:r>
      <w:r>
        <w:rPr>
          <w:rFonts w:hint="eastAsia"/>
          <w:u w:val="none"/>
          <w:lang w:val="en-US" w:eastAsia="zh-CN"/>
        </w:rPr>
        <w:t>改善园区整体面貌，优化园区营商环境，</w:t>
      </w:r>
      <w:r>
        <w:rPr>
          <w:rFonts w:hint="eastAsia"/>
          <w:u w:val="none"/>
        </w:rPr>
        <w:t>提升园区吸引力。</w:t>
      </w:r>
    </w:p>
    <w:p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/>
          <w:b/>
          <w:bCs/>
          <w:u w:val="none"/>
          <w:lang w:val="en-US" w:eastAsia="zh-CN"/>
        </w:rPr>
        <w:t>第七章</w:t>
      </w:r>
      <w:r>
        <w:rPr>
          <w:rFonts w:hint="eastAsia"/>
          <w:b/>
          <w:bCs/>
          <w:u w:val="none"/>
          <w:lang w:eastAsia="zh-CN"/>
        </w:rPr>
        <w:t>附则，</w:t>
      </w:r>
      <w:r>
        <w:rPr>
          <w:rFonts w:hint="eastAsia"/>
          <w:b w:val="0"/>
          <w:bCs w:val="0"/>
          <w:u w:val="none"/>
          <w:lang w:eastAsia="zh-CN"/>
        </w:rPr>
        <w:t>共</w:t>
      </w:r>
      <w:r>
        <w:rPr>
          <w:rFonts w:hint="eastAsia"/>
          <w:b w:val="0"/>
          <w:bCs w:val="0"/>
          <w:u w:val="none"/>
          <w:lang w:val="en-US" w:eastAsia="zh-CN"/>
        </w:rPr>
        <w:t>6条，</w:t>
      </w:r>
      <w:r>
        <w:rPr>
          <w:rFonts w:hint="eastAsia"/>
          <w:b w:val="0"/>
          <w:bCs w:val="0"/>
          <w:u w:val="none"/>
          <w:lang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u w:val="none"/>
        </w:rPr>
        <w:t>实施主体、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审核方式</w:t>
      </w:r>
      <w:r>
        <w:rPr>
          <w:rFonts w:hint="eastAsia" w:ascii="仿宋" w:hAnsi="仿宋" w:eastAsia="仿宋" w:cs="仿宋"/>
          <w:sz w:val="32"/>
          <w:szCs w:val="32"/>
          <w:u w:val="none"/>
        </w:rPr>
        <w:t>、避免重复资助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违法违规行为处理、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有效期</w:t>
      </w:r>
      <w:r>
        <w:rPr>
          <w:rFonts w:hint="eastAsia" w:ascii="仿宋" w:hAnsi="仿宋" w:eastAsia="仿宋" w:cs="仿宋"/>
          <w:sz w:val="32"/>
          <w:szCs w:val="32"/>
          <w:u w:val="none"/>
        </w:rPr>
        <w:t>等相关事项。</w:t>
      </w:r>
    </w:p>
    <w:p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五、其他需要说明的事项</w:t>
      </w:r>
    </w:p>
    <w:p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="880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 xml:space="preserve"> 本《若干措施》实行总额控制、择优资助的原则。在每年预算范围内对各类项目实施资助，对超出预算的项目可按一定比例调整。</w:t>
      </w:r>
    </w:p>
    <w:p>
      <w:pPr>
        <w:pStyle w:val="7"/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kinsoku/>
        <w:topLinePunct w:val="0"/>
        <w:autoSpaceDE/>
        <w:autoSpaceDN/>
        <w:bidi w:val="0"/>
        <w:spacing w:beforeLines="0" w:afterLines="0" w:line="560" w:lineRule="exact"/>
        <w:ind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深圳市龙华区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科技创新局</w:t>
      </w:r>
    </w:p>
    <w:p>
      <w:pPr>
        <w:pStyle w:val="7"/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日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cs="仿宋_GB2312"/>
          <w:color w:val="000000"/>
          <w:sz w:val="32"/>
          <w:szCs w:val="32"/>
          <w:u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szCs w:val="32"/>
          <w:u w:val="none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41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2FE7"/>
    <w:rsid w:val="001F738E"/>
    <w:rsid w:val="002413D2"/>
    <w:rsid w:val="00587B87"/>
    <w:rsid w:val="006B2563"/>
    <w:rsid w:val="008A52D7"/>
    <w:rsid w:val="008D19F3"/>
    <w:rsid w:val="00A65319"/>
    <w:rsid w:val="01F2136E"/>
    <w:rsid w:val="026A6383"/>
    <w:rsid w:val="040976DE"/>
    <w:rsid w:val="06BB14FB"/>
    <w:rsid w:val="0A427400"/>
    <w:rsid w:val="0A963309"/>
    <w:rsid w:val="0CC66491"/>
    <w:rsid w:val="0D8B5882"/>
    <w:rsid w:val="0DEC5C5A"/>
    <w:rsid w:val="0E1D6EC3"/>
    <w:rsid w:val="0EEF38BA"/>
    <w:rsid w:val="0F5B200C"/>
    <w:rsid w:val="103410F1"/>
    <w:rsid w:val="1059647D"/>
    <w:rsid w:val="134B37C0"/>
    <w:rsid w:val="17331C0C"/>
    <w:rsid w:val="18A4377B"/>
    <w:rsid w:val="1A87108E"/>
    <w:rsid w:val="1AA51700"/>
    <w:rsid w:val="1B0E2BC7"/>
    <w:rsid w:val="1B5832FA"/>
    <w:rsid w:val="1EE470F8"/>
    <w:rsid w:val="1EEB2460"/>
    <w:rsid w:val="1F8E6FD5"/>
    <w:rsid w:val="20024335"/>
    <w:rsid w:val="20C139C4"/>
    <w:rsid w:val="227423E4"/>
    <w:rsid w:val="24996609"/>
    <w:rsid w:val="25BE6E27"/>
    <w:rsid w:val="2727515F"/>
    <w:rsid w:val="28AD18C9"/>
    <w:rsid w:val="2B7E23B8"/>
    <w:rsid w:val="2C107326"/>
    <w:rsid w:val="2FCA67D5"/>
    <w:rsid w:val="301171DA"/>
    <w:rsid w:val="30376BE4"/>
    <w:rsid w:val="30433BEF"/>
    <w:rsid w:val="30D66EFC"/>
    <w:rsid w:val="31FC258B"/>
    <w:rsid w:val="32A870E4"/>
    <w:rsid w:val="32C56AE4"/>
    <w:rsid w:val="3301136B"/>
    <w:rsid w:val="34A161E3"/>
    <w:rsid w:val="354467D8"/>
    <w:rsid w:val="35737B04"/>
    <w:rsid w:val="35AC550B"/>
    <w:rsid w:val="3A454A55"/>
    <w:rsid w:val="3D316EAB"/>
    <w:rsid w:val="3E483D38"/>
    <w:rsid w:val="3ECC3AD9"/>
    <w:rsid w:val="3FF27484"/>
    <w:rsid w:val="41036A21"/>
    <w:rsid w:val="412E41D9"/>
    <w:rsid w:val="420B5F91"/>
    <w:rsid w:val="42F5155B"/>
    <w:rsid w:val="42FE3D2D"/>
    <w:rsid w:val="43CA1F0B"/>
    <w:rsid w:val="449B4201"/>
    <w:rsid w:val="44B72533"/>
    <w:rsid w:val="454C4D01"/>
    <w:rsid w:val="473E598B"/>
    <w:rsid w:val="47B84FE8"/>
    <w:rsid w:val="47EE0CC1"/>
    <w:rsid w:val="4A4514E5"/>
    <w:rsid w:val="4C9252C8"/>
    <w:rsid w:val="4DFC4492"/>
    <w:rsid w:val="4F776984"/>
    <w:rsid w:val="52122A3E"/>
    <w:rsid w:val="555E31F6"/>
    <w:rsid w:val="570E52F9"/>
    <w:rsid w:val="5843099D"/>
    <w:rsid w:val="5B1A49E2"/>
    <w:rsid w:val="5F3A59B5"/>
    <w:rsid w:val="5FC53D04"/>
    <w:rsid w:val="609521D2"/>
    <w:rsid w:val="61DC22CD"/>
    <w:rsid w:val="62134986"/>
    <w:rsid w:val="654F42E1"/>
    <w:rsid w:val="673C1542"/>
    <w:rsid w:val="68650DAB"/>
    <w:rsid w:val="68667087"/>
    <w:rsid w:val="6BE85F95"/>
    <w:rsid w:val="6C4F02C9"/>
    <w:rsid w:val="6D0F1629"/>
    <w:rsid w:val="6F743E34"/>
    <w:rsid w:val="708A2E07"/>
    <w:rsid w:val="71040DAB"/>
    <w:rsid w:val="71422FE7"/>
    <w:rsid w:val="726C3097"/>
    <w:rsid w:val="72A64EF7"/>
    <w:rsid w:val="73D4581E"/>
    <w:rsid w:val="77E93652"/>
    <w:rsid w:val="79B95975"/>
    <w:rsid w:val="79E34B71"/>
    <w:rsid w:val="7A312346"/>
    <w:rsid w:val="7B1A1619"/>
    <w:rsid w:val="7D135208"/>
    <w:rsid w:val="7D7B2B21"/>
    <w:rsid w:val="7DBC4FB7"/>
    <w:rsid w:val="7DCB4937"/>
    <w:rsid w:val="7E7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 w:asciiTheme="minorEastAsia" w:eastAsiaTheme="minorEastAsia"/>
    </w:rPr>
  </w:style>
  <w:style w:type="paragraph" w:styleId="3">
    <w:name w:val="Normal Indent"/>
    <w:basedOn w:val="1"/>
    <w:qFormat/>
    <w:uiPriority w:val="0"/>
    <w:pPr>
      <w:spacing w:after="120"/>
      <w:ind w:firstLine="482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首行缩进:  2 字符"/>
    <w:basedOn w:val="1"/>
    <w:qFormat/>
    <w:uiPriority w:val="0"/>
    <w:pPr>
      <w:spacing w:line="360" w:lineRule="auto"/>
      <w:ind w:firstLine="480" w:firstLineChars="200"/>
    </w:pPr>
    <w:rPr>
      <w:rFonts w:ascii="Arial" w:hAnsi="Arial" w:cs="宋体"/>
      <w:sz w:val="28"/>
      <w:szCs w:val="28"/>
    </w:rPr>
  </w:style>
  <w:style w:type="paragraph" w:customStyle="1" w:styleId="12">
    <w:name w:val="列出段落1"/>
    <w:basedOn w:val="1"/>
    <w:qFormat/>
    <w:uiPriority w:val="34"/>
    <w:pPr>
      <w:ind w:firstLine="420"/>
    </w:pPr>
  </w:style>
  <w:style w:type="paragraph" w:customStyle="1" w:styleId="13">
    <w:name w:val="列出段落11"/>
    <w:basedOn w:val="1"/>
    <w:qFormat/>
    <w:uiPriority w:val="34"/>
    <w:pPr>
      <w:ind w:firstLine="420"/>
    </w:pPr>
  </w:style>
  <w:style w:type="paragraph" w:customStyle="1" w:styleId="14">
    <w:name w:val="文件正文"/>
    <w:qFormat/>
    <w:uiPriority w:val="2"/>
    <w:pPr>
      <w:spacing w:line="560" w:lineRule="exact"/>
      <w:ind w:firstLine="622" w:firstLineChars="200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402</Words>
  <Characters>2293</Characters>
  <Lines>19</Lines>
  <Paragraphs>5</Paragraphs>
  <TotalTime>7</TotalTime>
  <ScaleCrop>false</ScaleCrop>
  <LinksUpToDate>false</LinksUpToDate>
  <CharactersWithSpaces>2690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2020-05-15T02:45:00Z</dcterms:created>
  <dc:creator>章豫</dc:creator>
  <cp:lastModifiedBy>木子李</cp:lastModifiedBy>
  <dcterms:modified xsi:type="dcterms:W3CDTF">2020-08-27T08:29:29Z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