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《深圳市龙华区文体公共配套物业建设运营管理办法（试行）》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为规范龙华区文体公共配套物业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营管理，切实保障人民群众的基本文化权益，加快推进龙华区现代公共文化服务体系建设，根据《中华人民共和国公共文化服务保障法》《公共文化体育设施条例》《深圳市龙华区政府物业资产管理办法》等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Style w:val="8"/>
          <w:rFonts w:hint="default"/>
          <w:highlight w:val="none"/>
        </w:rPr>
        <w:t>在充分调查研究、广泛征求意见建议的基础上，起草了《深圳市龙华区文体公共配套物业建设运营管理办法（试行））》（以下</w:t>
      </w:r>
      <w:r>
        <w:rPr>
          <w:rStyle w:val="8"/>
          <w:rFonts w:hint="eastAsia" w:eastAsia="仿宋_GB2312"/>
          <w:highlight w:val="none"/>
          <w:lang w:eastAsia="zh-CN"/>
        </w:rPr>
        <w:t>简</w:t>
      </w:r>
      <w:r>
        <w:rPr>
          <w:rStyle w:val="8"/>
          <w:rFonts w:hint="default"/>
          <w:highlight w:val="none"/>
        </w:rPr>
        <w:t>称《</w:t>
      </w:r>
      <w:r>
        <w:rPr>
          <w:rStyle w:val="8"/>
          <w:rFonts w:hint="eastAsia" w:eastAsia="仿宋_GB2312"/>
          <w:highlight w:val="none"/>
          <w:lang w:eastAsia="zh-CN"/>
        </w:rPr>
        <w:t>办法</w:t>
      </w:r>
      <w:r>
        <w:rPr>
          <w:rStyle w:val="8"/>
          <w:rFonts w:hint="default"/>
          <w:highlight w:val="none"/>
        </w:rPr>
        <w:t>》）。现将有关起草情况说明如下：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2017年龙华区成立以来，我区文体事业发展进入了快车道，市民群众对文化体育的需求日益增长。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龙华区政府也越发重视文化体育事业发展，逐年加大财政投入，区文化广电旅游体育局已陆续自区政府物业管理中心接收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177处文体公配物业。与文体公配物业数量迅速增长形成鲜明对比的是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硬件设施短板、公共文体服务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水平有待提升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文体专业人才匮乏等问题仍然突出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，出台相关制度，以文体公配物业规范化运营管理补齐龙华文体事业短板势在必行。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起草原则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（一）坚持需求导向。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文体公配物业坚持优先满足群众最迫切、最关注的阅读、健身、艺术等文体需求，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广泛用于建设社区图书馆、城市书房、体育活动场地、健身房、文艺社团等。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（二）坚持因地制宜。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充分考虑不同文体公配物业周边文体设施部局及自身实际情况，选择最合适的运营模式，确保既能切实发挥实际作用，又能长效运营。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（三）坚持闭环管理。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文体公配物业是政府资产，是基层文体设施的重要组成部分，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坚持对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运营标准、考核制度、退出机制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严格设置，确保政府资产安全运行。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outlineLvl w:val="9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>、主要内容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highlight w:val="none"/>
          <w:lang w:val="en-US" w:eastAsia="zh-CN"/>
        </w:rPr>
      </w:pPr>
      <w:r>
        <w:rPr>
          <w:rStyle w:val="8"/>
          <w:rFonts w:hint="default"/>
          <w:highlight w:val="none"/>
        </w:rPr>
        <w:t>《深圳市龙华区文体公共配套物业建设运营管理办法（试行）》</w:t>
      </w:r>
      <w:r>
        <w:rPr>
          <w:rStyle w:val="8"/>
          <w:rFonts w:hint="eastAsia" w:eastAsia="仿宋_GB2312"/>
          <w:highlight w:val="none"/>
          <w:lang w:val="en-US" w:eastAsia="zh-CN"/>
        </w:rPr>
        <w:t>共三十五条，分为总则、功能规划与运营模式、自主运营模式、委托运营模式、合作运营模式、运营规范、监督管理和附则七章。主要内容如下：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（一）制定《办法》的目的及依据。</w:t>
      </w:r>
      <w:r>
        <w:rPr>
          <w:rStyle w:val="8"/>
          <w:rFonts w:hint="eastAsia" w:eastAsia="仿宋_GB2312"/>
          <w:highlight w:val="none"/>
          <w:lang w:val="en-US" w:eastAsia="zh-CN"/>
        </w:rPr>
        <w:t>旨在规范龙华区文体公共配套物业建设运营管理，切实保障人民群众的基本文化权益，加快推进龙华区现代公共文化服务体系建设（第一条）。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（二）明确范围及职责。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明确文体公共配套物业适用对象、范围、运营管理职责及运营要求。（第二至五条）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（三）明确功能规划及运营模式。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明确文体公配物业的主要功能及运营模式，运营模式主要包括自主运营、委托运营、合作运营三种，运营模式确定及程序由建筑面积决定。（第六至八条）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default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（四）明确自主运营模式及相关要求。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明确了自主运营模式运营管理主体、建设用途，要求配备专业运营管理团队和人员，并根据公配物业建筑面积配备增加管理人员。（第九至十条）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（五）明确委托运营模式及相关要求。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明确了委托运营模式运营管理主体、租金标准、运营单位资质要求、公益要求及委托程序。（第十一至十五条）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（六）明确合作运营模式及相关要求。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明确了合作运营模式运营管理主体、建设用途及公益要求。（第十六至十八条）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default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（七）制定运营规范。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对运营方案编制、运营标准、运营单位责任、运营年限、委托到期后所有权、制度建设、安全管理、基础信息统计及台账管理进行了明确及要求。（第十九至二十六条）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default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（八）制定监督管理方式。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包括文体公配物业运营单位主动公开，主管单位对运营单位开展绩效考核，及违规退出机制。（第二十七至二十九条）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（九）附则。</w:t>
      </w:r>
      <w:r>
        <w:rPr>
          <w:rStyle w:val="8"/>
          <w:rFonts w:hint="eastAsia" w:eastAsia="仿宋_GB2312"/>
          <w:b w:val="0"/>
          <w:bCs w:val="0"/>
          <w:highlight w:val="none"/>
          <w:lang w:val="en-US" w:eastAsia="zh-CN"/>
        </w:rPr>
        <w:t>对经费保障、相关追责、施行年限等细节进行明确。（第三十至三十五条）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、起草依据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Style w:val="8"/>
          <w:rFonts w:hint="eastAsia" w:eastAsia="仿宋_GB2312"/>
          <w:b/>
          <w:bCs/>
          <w:highlight w:val="none"/>
          <w:lang w:val="en-US" w:eastAsia="zh-CN"/>
        </w:rPr>
      </w:pPr>
      <w:r>
        <w:rPr>
          <w:rStyle w:val="8"/>
          <w:rFonts w:hint="default"/>
        </w:rPr>
        <w:t>起草《深圳市龙华区文体公共配套物业建设运营管理办法（试行））》主要参考了以下文件：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《中华人民共和国公共文化服务保障法》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《公共文化体育设施条例》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《深圳市龙华区政府物业资产管理办法》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PNUFL+·ÂËÎ_GB2312-WinCharSetFF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002020203"/>
    <w:charset w:val="86"/>
    <w:family w:val="swiss"/>
    <w:pitch w:val="default"/>
    <w:sig w:usb0="00000000" w:usb1="00000000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01FE"/>
    <w:rsid w:val="0E9117FC"/>
    <w:rsid w:val="55064CAC"/>
    <w:rsid w:val="583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style21"/>
    <w:qFormat/>
    <w:uiPriority w:val="0"/>
    <w:rPr>
      <w:rFonts w:hint="eastAsia" w:ascii="仿宋_GB2312" w:hAnsi="仿宋_GB2312" w:eastAsia="仿宋_GB2312" w:cs="仿宋_GB2312"/>
      <w:color w:val="000000"/>
      <w:sz w:val="32"/>
      <w:szCs w:val="32"/>
    </w:rPr>
  </w:style>
  <w:style w:type="character" w:customStyle="1" w:styleId="9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0">
    <w:name w:val="PlainText"/>
    <w:basedOn w:val="1"/>
    <w:qFormat/>
    <w:uiPriority w:val="0"/>
    <w:pPr>
      <w:textAlignment w:val="baseline"/>
    </w:pPr>
    <w:rPr>
      <w:rFonts w:ascii="宋体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刘心怡</cp:lastModifiedBy>
  <dcterms:modified xsi:type="dcterms:W3CDTF">2020-11-13T09:44:33Z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