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939"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2628"/>
        <w:gridCol w:w="2947"/>
        <w:gridCol w:w="614"/>
        <w:gridCol w:w="2174"/>
        <w:gridCol w:w="1276"/>
        <w:gridCol w:w="1512"/>
        <w:gridCol w:w="278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477" w:hRule="atLeast"/>
        </w:trPr>
        <w:tc>
          <w:tcPr>
            <w:tcW w:w="13939" w:type="dxa"/>
            <w:gridSpan w:val="7"/>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bCs w:val="0"/>
                <w:i w:val="0"/>
                <w:color w:val="000000"/>
                <w:kern w:val="0"/>
                <w:sz w:val="32"/>
                <w:szCs w:val="32"/>
                <w:u w:val="none"/>
                <w:lang w:val="en-US" w:eastAsia="zh-CN" w:bidi="ar"/>
              </w:rPr>
              <w:t>项目支出绩效目标表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93"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项目名称</w:t>
            </w:r>
          </w:p>
        </w:tc>
        <w:tc>
          <w:tcPr>
            <w:tcW w:w="35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“四害”消杀</w:t>
            </w:r>
          </w:p>
        </w:tc>
        <w:tc>
          <w:tcPr>
            <w:tcW w:w="34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主管单位</w:t>
            </w:r>
          </w:p>
        </w:tc>
        <w:tc>
          <w:tcPr>
            <w:tcW w:w="43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深圳市龙华区民治街道办</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88"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项目类型</w:t>
            </w:r>
          </w:p>
        </w:tc>
        <w:tc>
          <w:tcPr>
            <w:tcW w:w="35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一般性项目</w:t>
            </w:r>
          </w:p>
        </w:tc>
        <w:tc>
          <w:tcPr>
            <w:tcW w:w="34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资金用途</w:t>
            </w:r>
          </w:p>
        </w:tc>
        <w:tc>
          <w:tcPr>
            <w:tcW w:w="43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基础设施建设类</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282"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计划开始日期</w:t>
            </w:r>
          </w:p>
        </w:tc>
        <w:tc>
          <w:tcPr>
            <w:tcW w:w="35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2020-01-01</w:t>
            </w:r>
          </w:p>
        </w:tc>
        <w:tc>
          <w:tcPr>
            <w:tcW w:w="34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计划完成日期</w:t>
            </w:r>
          </w:p>
        </w:tc>
        <w:tc>
          <w:tcPr>
            <w:tcW w:w="43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2020-12-31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304"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项目总金额（元）</w:t>
            </w:r>
          </w:p>
        </w:tc>
        <w:tc>
          <w:tcPr>
            <w:tcW w:w="35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5,100,000</w:t>
            </w:r>
          </w:p>
        </w:tc>
        <w:tc>
          <w:tcPr>
            <w:tcW w:w="34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本年度项目金额（元）</w:t>
            </w:r>
          </w:p>
        </w:tc>
        <w:tc>
          <w:tcPr>
            <w:tcW w:w="43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val="en-US" w:eastAsia="zh-CN"/>
              </w:rPr>
              <w:t>5,100,000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334"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财政拨款资金（元）</w:t>
            </w:r>
          </w:p>
        </w:tc>
        <w:tc>
          <w:tcPr>
            <w:tcW w:w="35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5,100,000</w:t>
            </w:r>
          </w:p>
        </w:tc>
        <w:tc>
          <w:tcPr>
            <w:tcW w:w="34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其他资金（元）</w:t>
            </w:r>
          </w:p>
        </w:tc>
        <w:tc>
          <w:tcPr>
            <w:tcW w:w="43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347"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中央转移支付资金（元）</w:t>
            </w:r>
          </w:p>
        </w:tc>
        <w:tc>
          <w:tcPr>
            <w:tcW w:w="35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0</w:t>
            </w:r>
          </w:p>
        </w:tc>
        <w:tc>
          <w:tcPr>
            <w:tcW w:w="34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color w:val="000000"/>
                <w:sz w:val="24"/>
                <w:szCs w:val="24"/>
                <w:u w:val="none"/>
              </w:rPr>
            </w:pPr>
            <w:r>
              <w:rPr>
                <w:rFonts w:hint="eastAsia" w:ascii="宋体" w:hAnsi="宋体" w:eastAsia="宋体" w:cs="宋体"/>
                <w:b/>
                <w:bCs/>
                <w:i w:val="0"/>
                <w:color w:val="000000"/>
                <w:kern w:val="0"/>
                <w:sz w:val="24"/>
                <w:szCs w:val="24"/>
                <w:u w:val="none"/>
                <w:lang w:val="en-US" w:eastAsia="zh-CN" w:bidi="ar"/>
              </w:rPr>
              <w:t>政府购买服务资金（元）</w:t>
            </w:r>
          </w:p>
        </w:tc>
        <w:tc>
          <w:tcPr>
            <w:tcW w:w="43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004"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项目概况</w:t>
            </w:r>
          </w:p>
        </w:tc>
        <w:tc>
          <w:tcPr>
            <w:tcW w:w="11311"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四害消杀管理工作开展对工作站、党群服务中心、城中村农贸市场周边等点位的定期消毒消杀工作。此外，还组织人员对辖区农贸市场、垃圾转运站、城中村、车站等进行督查检查，发现存在的问题并督促责任单位进行整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850"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项目用途</w:t>
            </w:r>
          </w:p>
        </w:tc>
        <w:tc>
          <w:tcPr>
            <w:tcW w:w="11311"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1.因合同到期单价有所上涨，单价依据为（深物价（1997）55号,将城中村除“四害”统一纳入办事处管理范围及北站周边和公共场所四害消杀委托业务费387万元；</w:t>
            </w:r>
          </w:p>
          <w:p>
            <w:pPr>
              <w:keepNext w:val="0"/>
              <w:keepLines w:val="0"/>
              <w:widowControl/>
              <w:suppressLineNumbers w:val="0"/>
              <w:jc w:val="left"/>
              <w:textAlignment w:val="center"/>
              <w:rPr>
                <w:rFonts w:hint="eastAsia" w:ascii="宋体" w:hAnsi="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2.创建省卫生村及清洁深圳月策划宣传印刷费20万,清洁深圳月及秋季病媒应急消杀及其它委托业务费42万元；</w:t>
            </w:r>
          </w:p>
          <w:p>
            <w:pPr>
              <w:keepNext w:val="0"/>
              <w:keepLines w:val="0"/>
              <w:widowControl/>
              <w:suppressLineNumbers w:val="0"/>
              <w:jc w:val="left"/>
              <w:textAlignment w:val="center"/>
              <w:rPr>
                <w:rFonts w:hint="default" w:ascii="宋体" w:hAnsi="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3.更新四防设施费用60万元。</w:t>
            </w:r>
            <w:bookmarkStart w:id="0" w:name="_GoBack"/>
            <w:bookmarkEnd w:id="0"/>
            <w:r>
              <w:rPr>
                <w:rFonts w:hint="eastAsia" w:ascii="宋体" w:hAnsi="宋体" w:cs="宋体"/>
                <w:i w:val="0"/>
                <w:color w:val="000000"/>
                <w:sz w:val="22"/>
                <w:szCs w:val="22"/>
                <w:u w:val="none"/>
                <w:lang w:val="en-US" w:eastAsia="zh-CN"/>
              </w:rPr>
              <w:t xml:space="preserve">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326"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固定资产采购金额</w:t>
            </w:r>
          </w:p>
        </w:tc>
        <w:tc>
          <w:tcPr>
            <w:tcW w:w="356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0.00</w:t>
            </w:r>
          </w:p>
        </w:tc>
        <w:tc>
          <w:tcPr>
            <w:tcW w:w="34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采购品目</w:t>
            </w:r>
          </w:p>
        </w:tc>
        <w:tc>
          <w:tcPr>
            <w:tcW w:w="43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default" w:ascii="宋体" w:hAnsi="宋体" w:eastAsia="宋体" w:cs="宋体"/>
                <w:i w:val="0"/>
                <w:color w:val="000000"/>
                <w:sz w:val="22"/>
                <w:szCs w:val="22"/>
                <w:u w:val="none"/>
                <w:lang w:val="en-US" w:eastAsia="zh-CN"/>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508"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项目总(中期)目标</w:t>
            </w:r>
          </w:p>
        </w:tc>
        <w:tc>
          <w:tcPr>
            <w:tcW w:w="11311"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为做好巩固和发展国家卫生城市以及省、市卫生村创建工作，对重点公共场所和办公场所周边以及综合整治城中村全面更换不锈钢防蚊闸6000个，补充毒鼠屋5000个。继续开展病媒生物防制工作，以灭成蚊和清理孳生地为重点，始终把蚊虫密度控制在国家规定的范围内，严防登革热疫情产生和流行。此外，还计划开展形式多样的爱国卫生宣传活动，特别是大力开展中小学校和居民健康教育，利用各社区宣传点和宣传栏进行爱卫宣传教育。</w:t>
            </w:r>
            <w:r>
              <w:rPr>
                <w:rFonts w:hint="eastAsia" w:ascii="宋体" w:hAnsi="宋体" w:cs="宋体"/>
                <w:i w:val="0"/>
                <w:color w:val="000000"/>
                <w:sz w:val="22"/>
                <w:szCs w:val="22"/>
                <w:u w:val="none"/>
                <w:lang w:val="en-US" w:eastAsia="zh-CN"/>
              </w:rPr>
              <w:tab/>
            </w:r>
            <w:r>
              <w:rPr>
                <w:rFonts w:hint="eastAsia" w:ascii="宋体" w:hAnsi="宋体" w:cs="宋体"/>
                <w:i w:val="0"/>
                <w:color w:val="000000"/>
                <w:sz w:val="22"/>
                <w:szCs w:val="22"/>
                <w:u w:val="none"/>
                <w:lang w:val="en-US" w:eastAsia="zh-CN"/>
              </w:rPr>
              <w:tab/>
            </w:r>
            <w:r>
              <w:rPr>
                <w:rFonts w:hint="eastAsia" w:ascii="宋体" w:hAnsi="宋体" w:cs="宋体"/>
                <w:i w:val="0"/>
                <w:color w:val="000000"/>
                <w:sz w:val="22"/>
                <w:szCs w:val="22"/>
                <w:u w:val="none"/>
                <w:lang w:val="en-US" w:eastAsia="zh-CN"/>
              </w:rPr>
              <w:tab/>
            </w:r>
            <w:r>
              <w:rPr>
                <w:rFonts w:hint="eastAsia" w:ascii="宋体" w:hAnsi="宋体" w:cs="宋体"/>
                <w:i w:val="0"/>
                <w:color w:val="000000"/>
                <w:sz w:val="22"/>
                <w:szCs w:val="22"/>
                <w:u w:val="none"/>
                <w:lang w:val="en-US" w:eastAsia="zh-CN"/>
              </w:rPr>
              <w:cr/>
            </w:r>
            <w:r>
              <w:rPr>
                <w:rFonts w:hint="eastAsia" w:ascii="宋体" w:hAnsi="宋体" w:cs="宋体"/>
                <w:i w:val="0"/>
                <w:color w:val="000000"/>
                <w:sz w:val="22"/>
                <w:szCs w:val="22"/>
                <w:u w:val="none"/>
                <w:lang w:val="en-US" w:eastAsia="zh-CN"/>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706" w:hRule="atLeast"/>
        </w:trPr>
        <w:tc>
          <w:tcPr>
            <w:tcW w:w="262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000000"/>
                <w:kern w:val="0"/>
                <w:sz w:val="22"/>
                <w:szCs w:val="22"/>
                <w:u w:val="none"/>
                <w:lang w:val="en-US" w:eastAsia="zh-CN" w:bidi="ar"/>
              </w:rPr>
            </w:pPr>
            <w:r>
              <w:rPr>
                <w:rFonts w:hint="eastAsia" w:ascii="宋体" w:hAnsi="宋体" w:eastAsia="宋体" w:cs="宋体"/>
                <w:b/>
                <w:bCs/>
                <w:i w:val="0"/>
                <w:color w:val="000000"/>
                <w:kern w:val="0"/>
                <w:sz w:val="22"/>
                <w:szCs w:val="22"/>
                <w:u w:val="none"/>
                <w:lang w:val="en-US" w:eastAsia="zh-CN" w:bidi="ar"/>
              </w:rPr>
              <w:t>年度绩效目标</w:t>
            </w:r>
          </w:p>
        </w:tc>
        <w:tc>
          <w:tcPr>
            <w:tcW w:w="11311"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宋体" w:hAnsi="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通过广泛开展环境卫生整治行动，对鼠、蝇、蚊栖息活动孳生场所，及时掌握“四害”密度动态，做到科学用药、投药到位、药物饱和，保证“四害”密度控制在国家范围之内；加大对垃圾收集点、旧屋村、农贸市场、废品收购站、待建地等重点场所的消杀力度。同时，各工作站进行了广泛宣传，增强了全民的灭鼠意识。宣传到位，全面动员，形成了全民动手的良好局面，确保此项灭鼠工作扎实有效。群众生活环境得到改善并提高，提升人民群众健康水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350" w:hRule="atLeast"/>
        </w:trPr>
        <w:tc>
          <w:tcPr>
            <w:tcW w:w="262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一级指标</w:t>
            </w:r>
          </w:p>
        </w:tc>
        <w:tc>
          <w:tcPr>
            <w:tcW w:w="29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二级指标</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指标内容</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目标值</w:t>
            </w:r>
          </w:p>
        </w:tc>
        <w:tc>
          <w:tcPr>
            <w:tcW w:w="27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目标值来源</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350" w:hRule="atLeast"/>
        </w:trPr>
        <w:tc>
          <w:tcPr>
            <w:tcW w:w="2628" w:type="dxa"/>
            <w:vMerge w:val="restart"/>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产出目标</w:t>
            </w:r>
          </w:p>
        </w:tc>
        <w:tc>
          <w:tcPr>
            <w:tcW w:w="29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数量</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不适用</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不适用</w:t>
            </w:r>
          </w:p>
        </w:tc>
        <w:tc>
          <w:tcPr>
            <w:tcW w:w="27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不适用</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706" w:hRule="atLeast"/>
        </w:trPr>
        <w:tc>
          <w:tcPr>
            <w:tcW w:w="2628"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产出目标</w:t>
            </w:r>
          </w:p>
        </w:tc>
        <w:tc>
          <w:tcPr>
            <w:tcW w:w="29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质量</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培训人员合格率、验收合格率、质量达标率，用以反映和考核项目产出的质量状况</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100%</w:t>
            </w:r>
          </w:p>
        </w:tc>
        <w:tc>
          <w:tcPr>
            <w:tcW w:w="27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深圳市龙华区疾病预防控制中心关于举办龙华区登革热防控知识培训班的通知</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621" w:hRule="atLeast"/>
        </w:trPr>
        <w:tc>
          <w:tcPr>
            <w:tcW w:w="2628"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产出目标</w:t>
            </w:r>
          </w:p>
        </w:tc>
        <w:tc>
          <w:tcPr>
            <w:tcW w:w="29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时效</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cs="宋体"/>
                <w:i w:val="0"/>
                <w:color w:val="000000"/>
                <w:kern w:val="0"/>
                <w:sz w:val="24"/>
                <w:szCs w:val="24"/>
                <w:u w:val="none"/>
                <w:lang w:val="en-US" w:eastAsia="zh-CN" w:bidi="ar"/>
              </w:rPr>
              <w:t>项目执行率</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99%</w:t>
            </w:r>
          </w:p>
        </w:tc>
        <w:tc>
          <w:tcPr>
            <w:tcW w:w="27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按照年度预算执行计划</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706" w:hRule="atLeast"/>
        </w:trPr>
        <w:tc>
          <w:tcPr>
            <w:tcW w:w="2628" w:type="dxa"/>
            <w:vMerge w:val="restart"/>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效果目标</w:t>
            </w:r>
          </w:p>
        </w:tc>
        <w:tc>
          <w:tcPr>
            <w:tcW w:w="29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经济效益</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群众生活环境得到改善并提高，提升人民群众健康水平。项目实施发展所带动区域经济发展</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环境改善带动客流量提升业绩</w:t>
            </w:r>
          </w:p>
        </w:tc>
        <w:tc>
          <w:tcPr>
            <w:tcW w:w="27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上级下达文件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477" w:hRule="atLeast"/>
        </w:trPr>
        <w:tc>
          <w:tcPr>
            <w:tcW w:w="2628"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效果目标</w:t>
            </w:r>
          </w:p>
        </w:tc>
        <w:tc>
          <w:tcPr>
            <w:tcW w:w="29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社会效益</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提高城市居民生活环境质量</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达到良好程度</w:t>
            </w:r>
          </w:p>
        </w:tc>
        <w:tc>
          <w:tcPr>
            <w:tcW w:w="27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上级下达文件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706" w:hRule="atLeast"/>
        </w:trPr>
        <w:tc>
          <w:tcPr>
            <w:tcW w:w="2628"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效果目标</w:t>
            </w:r>
          </w:p>
        </w:tc>
        <w:tc>
          <w:tcPr>
            <w:tcW w:w="29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生态效益</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降低四害密度</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达到良好程度</w:t>
            </w:r>
          </w:p>
        </w:tc>
        <w:tc>
          <w:tcPr>
            <w:tcW w:w="27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上级下达文件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619" w:hRule="atLeast"/>
        </w:trPr>
        <w:tc>
          <w:tcPr>
            <w:tcW w:w="2628"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效果目标</w:t>
            </w:r>
          </w:p>
        </w:tc>
        <w:tc>
          <w:tcPr>
            <w:tcW w:w="294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hint="eastAsia" w:ascii="宋体" w:hAnsi="宋体" w:cs="宋体"/>
                <w:i w:val="0"/>
                <w:color w:val="000000"/>
                <w:sz w:val="22"/>
                <w:szCs w:val="22"/>
                <w:u w:val="none"/>
                <w:lang w:val="en-US" w:eastAsia="zh-CN"/>
              </w:rPr>
            </w:pPr>
            <w:r>
              <w:t>满意度</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群众满意度</w:t>
            </w:r>
          </w:p>
        </w:tc>
        <w:tc>
          <w:tcPr>
            <w:tcW w:w="2788" w:type="dxa"/>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同比上升20%</w:t>
            </w:r>
          </w:p>
        </w:tc>
        <w:tc>
          <w:tcPr>
            <w:tcW w:w="2788"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val="en-US" w:eastAsia="zh-CN"/>
              </w:rPr>
            </w:pPr>
            <w:r>
              <w:rPr>
                <w:rFonts w:hint="eastAsia" w:ascii="宋体" w:hAnsi="宋体" w:eastAsia="宋体" w:cs="宋体"/>
                <w:i w:val="0"/>
                <w:color w:val="000000"/>
                <w:kern w:val="0"/>
                <w:sz w:val="24"/>
                <w:szCs w:val="24"/>
                <w:u w:val="none"/>
                <w:lang w:val="en-US" w:eastAsia="zh-CN" w:bidi="ar"/>
              </w:rPr>
              <w:t>问卷调查</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9929CC"/>
    <w:rsid w:val="3B0323E8"/>
    <w:rsid w:val="3D010B0B"/>
    <w:rsid w:val="452A528F"/>
    <w:rsid w:val="6C642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alibri"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2020-12-10T08:22:21Z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