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  <w:lang w:val="en-US" w:eastAsia="zh-CN"/>
        </w:rPr>
        <w:t>启飞口腔门诊部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启飞口腔门诊部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35443939-544030917D1522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</w:t>
            </w: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启飞口腔门诊部</w:t>
            </w:r>
            <w:bookmarkStart w:id="0" w:name="_GoBack"/>
            <w:bookmarkEnd w:id="0"/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深圳市龙华区民治街道民强社区水尾工业区5栋民治大道743号5栋A座1-3楼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王健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郑晶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口腔科/医学影像科;X线诊断专业******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51D47"/>
    <w:rsid w:val="643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2021-01-27T02:46:00Z</dcterms:created>
  <dc:creator> 魏祖光</dc:creator>
  <cp:lastModifiedBy> 魏祖光</cp:lastModifiedBy>
  <dcterms:modified xsi:type="dcterms:W3CDTF">2021-01-27T02:47:20Z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