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hAnsi="青鸟华光简小标宋" w:eastAsia="方正小标宋简体" w:cs="Times New Roman"/>
          <w:sz w:val="44"/>
          <w:szCs w:val="44"/>
        </w:rPr>
      </w:pPr>
      <w:r>
        <w:rPr>
          <w:rFonts w:hint="eastAsia" w:ascii="方正小标宋简体" w:hAnsi="青鸟华光简小标宋" w:eastAsia="方正小标宋简体" w:cs="Times New Roman"/>
          <w:sz w:val="44"/>
          <w:szCs w:val="44"/>
        </w:rPr>
        <w:t>深圳市龙华区义务教育阶段大学区学校积分入学</w:t>
      </w:r>
    </w:p>
    <w:p>
      <w:pPr>
        <w:ind w:firstLine="0" w:firstLineChars="0"/>
        <w:jc w:val="center"/>
        <w:rPr>
          <w:rFonts w:ascii="方正小标宋简体" w:hAnsi="青鸟华光简小标宋" w:eastAsia="方正小标宋简体" w:cs="Times New Roman"/>
          <w:sz w:val="44"/>
          <w:szCs w:val="44"/>
        </w:rPr>
      </w:pPr>
      <w:r>
        <w:rPr>
          <w:rFonts w:hint="eastAsia" w:ascii="方正小标宋简体" w:hAnsi="青鸟华光简小标宋" w:eastAsia="方正小标宋简体" w:cs="Times New Roman"/>
          <w:sz w:val="44"/>
          <w:szCs w:val="44"/>
          <w:lang w:eastAsia="zh-CN"/>
        </w:rPr>
        <w:t>办法</w:t>
      </w:r>
      <w:r>
        <w:rPr>
          <w:rFonts w:hint="eastAsia" w:ascii="方正小标宋简体" w:hAnsi="青鸟华光简小标宋" w:eastAsia="方正小标宋简体" w:cs="Times New Roman"/>
          <w:sz w:val="44"/>
          <w:szCs w:val="44"/>
        </w:rPr>
        <w:t>一览表</w:t>
      </w:r>
      <w:r>
        <w:rPr>
          <w:rFonts w:hint="eastAsia" w:ascii="方正小标宋简体" w:hAnsi="青鸟华光简小标宋" w:eastAsia="方正小标宋简体" w:cs="Times New Roman"/>
          <w:sz w:val="44"/>
          <w:szCs w:val="44"/>
          <w:lang w:eastAsia="zh-CN"/>
        </w:rPr>
        <w:t>（修订稿）</w:t>
      </w:r>
      <w:r>
        <w:rPr>
          <w:rFonts w:hint="eastAsia" w:ascii="方正小标宋简体" w:hAnsi="青鸟华光简小标宋" w:eastAsia="方正小标宋简体" w:cs="Times New Roman"/>
          <w:sz w:val="44"/>
          <w:szCs w:val="44"/>
        </w:rPr>
        <w:t>(</w:t>
      </w:r>
      <w:r>
        <w:rPr>
          <w:rFonts w:hint="eastAsia" w:ascii="方正小标宋简体" w:hAnsi="青鸟华光简小标宋" w:eastAsia="方正小标宋简体" w:cs="Times New Roman"/>
          <w:sz w:val="44"/>
          <w:szCs w:val="44"/>
          <w:lang w:val="en-US" w:eastAsia="zh-CN"/>
        </w:rPr>
        <w:t>征求意见</w:t>
      </w:r>
      <w:r>
        <w:rPr>
          <w:rFonts w:hint="eastAsia" w:ascii="方正小标宋简体" w:hAnsi="青鸟华光简小标宋" w:eastAsia="方正小标宋简体" w:cs="Times New Roman"/>
          <w:sz w:val="44"/>
          <w:szCs w:val="44"/>
        </w:rPr>
        <w:t>稿)</w:t>
      </w:r>
    </w:p>
    <w:tbl>
      <w:tblPr>
        <w:tblStyle w:val="4"/>
        <w:tblpPr w:leftFromText="180" w:rightFromText="180" w:vertAnchor="text" w:horzAnchor="page" w:tblpX="740" w:tblpY="262"/>
        <w:tblOverlap w:val="never"/>
        <w:tblW w:w="10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70"/>
        <w:gridCol w:w="2932"/>
        <w:gridCol w:w="562"/>
        <w:gridCol w:w="2791"/>
        <w:gridCol w:w="273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tblHeader/>
        </w:trPr>
        <w:tc>
          <w:tcPr>
            <w:tcW w:w="1131" w:type="dxa"/>
            <w:gridSpan w:val="2"/>
            <w:vMerge w:val="restart"/>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类别</w:t>
            </w:r>
          </w:p>
        </w:tc>
        <w:tc>
          <w:tcPr>
            <w:tcW w:w="2932" w:type="dxa"/>
            <w:vMerge w:val="restart"/>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要求</w:t>
            </w:r>
          </w:p>
        </w:tc>
        <w:tc>
          <w:tcPr>
            <w:tcW w:w="562" w:type="dxa"/>
            <w:vMerge w:val="restart"/>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基础分</w:t>
            </w:r>
          </w:p>
        </w:tc>
        <w:tc>
          <w:tcPr>
            <w:tcW w:w="6181" w:type="dxa"/>
            <w:gridSpan w:val="3"/>
            <w:vAlign w:val="center"/>
          </w:tcPr>
          <w:p>
            <w:pPr>
              <w:spacing w:line="320" w:lineRule="exact"/>
              <w:ind w:right="-6" w:firstLine="424" w:firstLineChars="201"/>
              <w:jc w:val="center"/>
              <w:rPr>
                <w:rFonts w:hAnsi="仿宋" w:cs="Times New Roman"/>
                <w:b/>
                <w:bCs/>
                <w:sz w:val="21"/>
              </w:rPr>
            </w:pPr>
            <w:r>
              <w:rPr>
                <w:rFonts w:hint="eastAsia" w:hAnsi="仿宋" w:cs="Times New Roman"/>
                <w:b/>
                <w:bCs/>
                <w:sz w:val="21"/>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blHeader/>
        </w:trPr>
        <w:tc>
          <w:tcPr>
            <w:tcW w:w="1131" w:type="dxa"/>
            <w:gridSpan w:val="2"/>
            <w:vMerge w:val="continue"/>
            <w:vAlign w:val="center"/>
          </w:tcPr>
          <w:p>
            <w:pPr>
              <w:spacing w:line="320" w:lineRule="exact"/>
              <w:ind w:right="-6" w:firstLine="643" w:firstLineChars="201"/>
              <w:jc w:val="center"/>
            </w:pPr>
          </w:p>
        </w:tc>
        <w:tc>
          <w:tcPr>
            <w:tcW w:w="2932" w:type="dxa"/>
            <w:vMerge w:val="continue"/>
            <w:vAlign w:val="center"/>
          </w:tcPr>
          <w:p>
            <w:pPr>
              <w:spacing w:line="320" w:lineRule="exact"/>
              <w:ind w:right="-6" w:firstLine="0" w:firstLineChars="0"/>
              <w:jc w:val="center"/>
              <w:rPr>
                <w:rFonts w:hAnsi="仿宋" w:cs="Times New Roman"/>
                <w:b/>
                <w:bCs/>
                <w:sz w:val="21"/>
              </w:rPr>
            </w:pPr>
          </w:p>
        </w:tc>
        <w:tc>
          <w:tcPr>
            <w:tcW w:w="562" w:type="dxa"/>
            <w:vMerge w:val="continue"/>
            <w:vAlign w:val="center"/>
          </w:tcPr>
          <w:p>
            <w:pPr>
              <w:spacing w:line="320" w:lineRule="exact"/>
              <w:ind w:right="-6" w:firstLine="643" w:firstLineChars="201"/>
              <w:jc w:val="center"/>
            </w:pPr>
          </w:p>
        </w:tc>
        <w:tc>
          <w:tcPr>
            <w:tcW w:w="2791" w:type="dxa"/>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深户住房/非深户社保</w:t>
            </w:r>
            <w:r>
              <w:rPr>
                <w:rFonts w:hint="eastAsia" w:hAnsi="仿宋" w:cs="Times New Roman"/>
                <w:b/>
                <w:bCs/>
                <w:sz w:val="21"/>
              </w:rPr>
              <w:tab/>
            </w:r>
          </w:p>
        </w:tc>
        <w:tc>
          <w:tcPr>
            <w:tcW w:w="2730" w:type="dxa"/>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ab/>
            </w:r>
            <w:r>
              <w:rPr>
                <w:rFonts w:hint="eastAsia" w:hAnsi="仿宋" w:cs="Times New Roman"/>
                <w:b/>
                <w:bCs/>
                <w:sz w:val="21"/>
              </w:rPr>
              <w:t>户籍情况</w:t>
            </w:r>
          </w:p>
        </w:tc>
        <w:tc>
          <w:tcPr>
            <w:tcW w:w="660" w:type="dxa"/>
            <w:vAlign w:val="center"/>
          </w:tcPr>
          <w:p>
            <w:pPr>
              <w:spacing w:line="320" w:lineRule="exact"/>
              <w:ind w:right="-6" w:firstLine="0" w:firstLineChars="0"/>
              <w:jc w:val="center"/>
              <w:rPr>
                <w:rFonts w:hAnsi="仿宋" w:cs="Times New Roman"/>
                <w:b/>
                <w:bCs/>
                <w:sz w:val="21"/>
              </w:rPr>
            </w:pPr>
            <w:r>
              <w:rPr>
                <w:rFonts w:hint="eastAsia" w:hAnsi="仿宋" w:cs="Times New Roman"/>
                <w:b/>
                <w:bCs/>
                <w:sz w:val="21"/>
              </w:rPr>
              <w:t>计生情况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A类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A1</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rPr>
              <w:t>单片区，</w:t>
            </w:r>
            <w:r>
              <w:rPr>
                <w:rFonts w:hint="eastAsia" w:ascii="仿宋" w:hAnsi="仿宋" w:eastAsia="仿宋" w:cs="仿宋"/>
                <w:sz w:val="21"/>
                <w:szCs w:val="21"/>
              </w:rPr>
              <w:t>深圳户籍，学区内商品房（父母、祖父母、外祖父母或法定监护人有学区内商品房，且产权份额≥51%，下同）或龙华户籍原著居民住房或安居商品房（下同）。</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父母、祖父母、外祖父母或法定监护人在申请学校学区内自购商品房或安居商品房（要求为住宅用途商品房，且产权份额在51%以上），按取得商品房房产证（或商品房不动产权证）上购买日期每满1个月加0.1分。</w:t>
            </w:r>
          </w:p>
        </w:tc>
        <w:tc>
          <w:tcPr>
            <w:tcW w:w="2730"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申请入学适龄儿童、少年的父母(或法定监护人）户籍迁入深圳时间最长的一方计算积分，每满一个月加0.1分。</w:t>
            </w:r>
          </w:p>
        </w:tc>
        <w:tc>
          <w:tcPr>
            <w:tcW w:w="660" w:type="dxa"/>
            <w:vMerge w:val="restart"/>
            <w:vAlign w:val="center"/>
          </w:tcPr>
          <w:p>
            <w:pPr>
              <w:spacing w:line="320" w:lineRule="exact"/>
              <w:ind w:right="-6" w:firstLine="0" w:firstLineChars="0"/>
              <w:rPr>
                <w:rFonts w:ascii="仿宋" w:hAnsi="仿宋" w:eastAsia="仿宋" w:cs="仿宋"/>
                <w:bCs/>
                <w:spacing w:val="-20"/>
                <w:sz w:val="21"/>
              </w:rPr>
            </w:pPr>
            <w:r>
              <w:rPr>
                <w:rFonts w:hint="eastAsia" w:ascii="仿宋" w:hAnsi="仿宋" w:eastAsia="仿宋" w:cs="仿宋"/>
                <w:bCs/>
                <w:spacing w:val="-20"/>
                <w:sz w:val="21"/>
              </w:rPr>
              <w:t>独生子女加1分、其他情况不加分。计生审核以家庭为单位。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A2</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深圳户籍，学区内商品房。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20"/>
              <w:jc w:val="left"/>
              <w:rPr>
                <w:rFonts w:ascii="仿宋" w:hAnsi="仿宋" w:eastAsia="仿宋" w:cs="仿宋"/>
                <w:sz w:val="21"/>
                <w:szCs w:val="21"/>
              </w:rPr>
            </w:pPr>
          </w:p>
        </w:tc>
        <w:tc>
          <w:tcPr>
            <w:tcW w:w="2730" w:type="dxa"/>
            <w:vMerge w:val="continue"/>
            <w:vAlign w:val="center"/>
          </w:tcPr>
          <w:p>
            <w:pPr>
              <w:spacing w:line="320" w:lineRule="exact"/>
              <w:ind w:right="-6" w:firstLine="420"/>
              <w:jc w:val="left"/>
              <w:rPr>
                <w:rFonts w:ascii="仿宋" w:hAnsi="仿宋" w:eastAsia="仿宋" w:cs="仿宋"/>
                <w:sz w:val="21"/>
                <w:szCs w:val="21"/>
              </w:rPr>
            </w:pPr>
          </w:p>
        </w:tc>
        <w:tc>
          <w:tcPr>
            <w:tcW w:w="660" w:type="dxa"/>
            <w:vMerge w:val="continue"/>
            <w:vAlign w:val="center"/>
          </w:tcPr>
          <w:p>
            <w:pPr>
              <w:spacing w:line="320" w:lineRule="exact"/>
              <w:ind w:right="-6" w:firstLine="42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B类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B1</w:t>
            </w:r>
          </w:p>
        </w:tc>
        <w:tc>
          <w:tcPr>
            <w:tcW w:w="2932" w:type="dxa"/>
            <w:vAlign w:val="center"/>
          </w:tcPr>
          <w:p>
            <w:pPr>
              <w:spacing w:line="320" w:lineRule="exact"/>
              <w:ind w:right="-6" w:firstLine="0" w:firstLineChars="0"/>
              <w:jc w:val="left"/>
              <w:rPr>
                <w:rFonts w:ascii="仿宋" w:hAnsi="仿宋" w:eastAsia="仿宋" w:cs="仿宋"/>
                <w:sz w:val="21"/>
                <w:szCs w:val="21"/>
              </w:rPr>
            </w:pPr>
            <w:r>
              <w:rPr>
                <w:rFonts w:hint="eastAsia" w:ascii="仿宋" w:hAnsi="仿宋" w:eastAsia="仿宋" w:cs="仿宋"/>
                <w:b/>
                <w:bCs/>
                <w:sz w:val="21"/>
                <w:szCs w:val="21"/>
              </w:rPr>
              <w:t>单片区，</w:t>
            </w:r>
            <w:r>
              <w:rPr>
                <w:rFonts w:hint="eastAsia" w:ascii="仿宋" w:hAnsi="仿宋" w:eastAsia="仿宋" w:cs="仿宋"/>
                <w:sz w:val="21"/>
                <w:szCs w:val="21"/>
              </w:rPr>
              <w:t>深圳户籍，学区内租房或公共租赁房或其他类住房（含自建房、军产房、集资房、小产权房、租房但未办理房屋租赁凭证或房屋租赁信息、集体宿舍等，下同）。</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父母、祖父母、外祖父母或法定监护人在申请学校学区内租房且能提供房屋租赁部门发放的《房屋租赁凭证》（或公共租赁房合同），按《房屋租赁凭证》（或公共租赁房合同）签发日期每满1个月加0.1分。其他类住房不加分。</w:t>
            </w:r>
          </w:p>
        </w:tc>
        <w:tc>
          <w:tcPr>
            <w:tcW w:w="2730" w:type="dxa"/>
            <w:vMerge w:val="continue"/>
            <w:vAlign w:val="center"/>
          </w:tcPr>
          <w:p>
            <w:pPr>
              <w:spacing w:line="320" w:lineRule="exact"/>
              <w:ind w:right="-6" w:firstLine="420"/>
              <w:jc w:val="left"/>
              <w:rPr>
                <w:rFonts w:ascii="仿宋" w:hAnsi="仿宋" w:eastAsia="仿宋" w:cs="仿宋"/>
                <w:sz w:val="21"/>
                <w:szCs w:val="21"/>
              </w:rPr>
            </w:pPr>
          </w:p>
        </w:tc>
        <w:tc>
          <w:tcPr>
            <w:tcW w:w="660" w:type="dxa"/>
            <w:vMerge w:val="continue"/>
            <w:vAlign w:val="center"/>
          </w:tcPr>
          <w:p>
            <w:pPr>
              <w:spacing w:line="320" w:lineRule="exact"/>
              <w:ind w:right="-6" w:firstLine="42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B2</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深圳户籍，学区内租房。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20"/>
              <w:jc w:val="left"/>
              <w:rPr>
                <w:rFonts w:ascii="仿宋" w:hAnsi="仿宋" w:eastAsia="仿宋" w:cs="仿宋"/>
                <w:sz w:val="21"/>
                <w:szCs w:val="21"/>
              </w:rPr>
            </w:pPr>
          </w:p>
        </w:tc>
        <w:tc>
          <w:tcPr>
            <w:tcW w:w="2730" w:type="dxa"/>
            <w:vMerge w:val="continue"/>
            <w:vAlign w:val="center"/>
          </w:tcPr>
          <w:p>
            <w:pPr>
              <w:spacing w:line="320" w:lineRule="exact"/>
              <w:ind w:right="-6" w:firstLine="420"/>
              <w:jc w:val="left"/>
              <w:rPr>
                <w:rFonts w:ascii="仿宋" w:hAnsi="仿宋" w:eastAsia="仿宋" w:cs="仿宋"/>
                <w:sz w:val="21"/>
                <w:szCs w:val="21"/>
              </w:rPr>
            </w:pPr>
          </w:p>
        </w:tc>
        <w:tc>
          <w:tcPr>
            <w:tcW w:w="660" w:type="dxa"/>
            <w:vMerge w:val="continue"/>
            <w:vAlign w:val="center"/>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4" w:hRule="atLeas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C类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C1</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rPr>
              <w:t>单片区，</w:t>
            </w:r>
            <w:r>
              <w:rPr>
                <w:rFonts w:hint="eastAsia" w:ascii="仿宋" w:hAnsi="仿宋" w:eastAsia="仿宋" w:cs="仿宋"/>
                <w:sz w:val="21"/>
                <w:szCs w:val="21"/>
              </w:rPr>
              <w:t>非深户籍，学区内商品房。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按照申请入学适龄儿童、少年的父母（或法定监护人）在深圳市缴纳社会保险（必须同时购买养老保险和医疗保险两险种）时间最长的一方计算积分，以同时缴纳养老保险和医疗保险的月数作为积分月数，每满1个月加0.1分，补缴月数不纳入积分。</w:t>
            </w:r>
          </w:p>
        </w:tc>
        <w:tc>
          <w:tcPr>
            <w:tcW w:w="2730" w:type="dxa"/>
            <w:vMerge w:val="restart"/>
            <w:vAlign w:val="center"/>
          </w:tcPr>
          <w:p>
            <w:pPr>
              <w:spacing w:line="320" w:lineRule="exact"/>
              <w:ind w:right="-6" w:firstLine="420"/>
              <w:jc w:val="left"/>
              <w:rPr>
                <w:rFonts w:ascii="仿宋" w:hAnsi="仿宋" w:eastAsia="仿宋" w:cs="仿宋"/>
                <w:sz w:val="21"/>
                <w:szCs w:val="21"/>
              </w:rPr>
            </w:pPr>
            <w:r>
              <w:rPr>
                <w:rFonts w:hint="eastAsia" w:ascii="仿宋" w:hAnsi="仿宋" w:eastAsia="仿宋" w:cs="仿宋"/>
                <w:sz w:val="21"/>
                <w:szCs w:val="21"/>
              </w:rPr>
              <w:t>申请入学适龄儿童、少年的父母(或法定监护人）具有使用功能的《深圳经济特区居住证》或《中华人民共和国港澳居民居住证》时间最长的一方计算积分，每满一个月加0.1分；如果父母（或法定监护人）有一方是深圳户籍的，经申请人申请，可以以父母一方户籍迁入深圳的时间计算积分，每满1个月加0.1分。</w:t>
            </w:r>
          </w:p>
        </w:tc>
        <w:tc>
          <w:tcPr>
            <w:tcW w:w="660" w:type="dxa"/>
            <w:vMerge w:val="continue"/>
            <w:vAlign w:val="center"/>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3" w:hRule="atLeas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C2</w:t>
            </w:r>
          </w:p>
        </w:tc>
        <w:tc>
          <w:tcPr>
            <w:tcW w:w="2932" w:type="dxa"/>
            <w:vAlign w:val="center"/>
          </w:tcPr>
          <w:p>
            <w:pPr>
              <w:spacing w:line="320" w:lineRule="exact"/>
              <w:ind w:right="-6" w:firstLine="0" w:firstLineChars="0"/>
              <w:jc w:val="left"/>
              <w:rPr>
                <w:rFonts w:ascii="仿宋" w:hAnsi="仿宋" w:eastAsia="仿宋" w:cs="仿宋"/>
                <w:sz w:val="21"/>
                <w:szCs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非深户籍，学区内商品房。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20"/>
              <w:jc w:val="left"/>
              <w:rPr>
                <w:rFonts w:ascii="仿宋" w:hAnsi="仿宋" w:eastAsia="仿宋" w:cs="仿宋"/>
                <w:bCs/>
                <w:sz w:val="21"/>
              </w:rPr>
            </w:pPr>
          </w:p>
        </w:tc>
        <w:tc>
          <w:tcPr>
            <w:tcW w:w="2730" w:type="dxa"/>
            <w:vMerge w:val="continue"/>
          </w:tcPr>
          <w:p>
            <w:pPr>
              <w:spacing w:line="320" w:lineRule="exact"/>
              <w:ind w:right="-6" w:firstLine="0" w:firstLineChars="0"/>
              <w:jc w:val="center"/>
              <w:rPr>
                <w:rFonts w:ascii="仿宋" w:hAnsi="仿宋" w:eastAsia="仿宋" w:cs="仿宋"/>
                <w:bCs/>
                <w:sz w:val="21"/>
              </w:rPr>
            </w:pPr>
          </w:p>
        </w:tc>
        <w:tc>
          <w:tcPr>
            <w:tcW w:w="660" w:type="dxa"/>
            <w:vMerge w:val="continue"/>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tblHeader/>
        </w:trPr>
        <w:tc>
          <w:tcPr>
            <w:tcW w:w="561" w:type="dxa"/>
            <w:vMerge w:val="restart"/>
            <w:vAlign w:val="center"/>
          </w:tcPr>
          <w:p>
            <w:pPr>
              <w:spacing w:line="320" w:lineRule="exact"/>
              <w:ind w:right="-6" w:firstLine="0" w:firstLineChars="0"/>
              <w:jc w:val="center"/>
              <w:rPr>
                <w:rFonts w:ascii="仿宋" w:hAnsi="仿宋" w:eastAsia="仿宋" w:cs="仿宋"/>
                <w:bCs/>
                <w:sz w:val="21"/>
              </w:rPr>
            </w:pPr>
            <w:r>
              <w:rPr>
                <w:rFonts w:hint="eastAsia" w:ascii="仿宋" w:hAnsi="仿宋" w:eastAsia="仿宋" w:cs="仿宋"/>
                <w:bCs/>
                <w:sz w:val="21"/>
              </w:rPr>
              <w:t>D类</w:t>
            </w:r>
          </w:p>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D1</w:t>
            </w:r>
          </w:p>
        </w:tc>
        <w:tc>
          <w:tcPr>
            <w:tcW w:w="2932" w:type="dxa"/>
            <w:vAlign w:val="center"/>
          </w:tcPr>
          <w:p>
            <w:pPr>
              <w:spacing w:line="320" w:lineRule="exact"/>
              <w:ind w:right="-6" w:firstLine="0" w:firstLineChars="0"/>
              <w:jc w:val="left"/>
              <w:rPr>
                <w:rFonts w:ascii="仿宋" w:hAnsi="仿宋" w:eastAsia="仿宋" w:cs="仿宋"/>
                <w:bCs/>
                <w:sz w:val="21"/>
              </w:rPr>
            </w:pPr>
            <w:r>
              <w:rPr>
                <w:rFonts w:hint="eastAsia" w:ascii="仿宋" w:hAnsi="仿宋" w:eastAsia="仿宋" w:cs="仿宋"/>
                <w:b/>
                <w:bCs/>
                <w:sz w:val="21"/>
                <w:szCs w:val="21"/>
              </w:rPr>
              <w:t>单片区，</w:t>
            </w:r>
            <w:r>
              <w:rPr>
                <w:rFonts w:hint="eastAsia" w:ascii="仿宋" w:hAnsi="仿宋" w:eastAsia="仿宋" w:cs="仿宋"/>
                <w:sz w:val="21"/>
                <w:szCs w:val="21"/>
              </w:rPr>
              <w:t>非深户籍，学区内租房或公共租赁房或其他类住房。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sz w:val="21"/>
              </w:rPr>
            </w:pPr>
          </w:p>
        </w:tc>
        <w:tc>
          <w:tcPr>
            <w:tcW w:w="2730" w:type="dxa"/>
            <w:vMerge w:val="continue"/>
          </w:tcPr>
          <w:p>
            <w:pPr>
              <w:spacing w:line="320" w:lineRule="exact"/>
              <w:ind w:right="-6" w:firstLine="0" w:firstLineChars="0"/>
              <w:jc w:val="center"/>
              <w:rPr>
                <w:rFonts w:ascii="仿宋" w:hAnsi="仿宋" w:eastAsia="仿宋" w:cs="仿宋"/>
                <w:bCs/>
                <w:sz w:val="21"/>
              </w:rPr>
            </w:pPr>
          </w:p>
        </w:tc>
        <w:tc>
          <w:tcPr>
            <w:tcW w:w="660" w:type="dxa"/>
            <w:vMerge w:val="continue"/>
          </w:tcPr>
          <w:p>
            <w:pPr>
              <w:spacing w:line="320" w:lineRule="exact"/>
              <w:ind w:right="-6" w:firstLine="0" w:firstLineChars="0"/>
              <w:jc w:val="center"/>
              <w:rPr>
                <w:rFonts w:ascii="仿宋" w:hAnsi="仿宋" w:eastAsia="仿宋" w:cs="仿宋"/>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561" w:type="dxa"/>
            <w:vMerge w:val="continue"/>
            <w:vAlign w:val="center"/>
          </w:tcPr>
          <w:p>
            <w:pPr>
              <w:spacing w:line="320" w:lineRule="exact"/>
              <w:ind w:right="-6" w:firstLine="0" w:firstLineChars="0"/>
              <w:jc w:val="center"/>
              <w:rPr>
                <w:rFonts w:ascii="仿宋" w:hAnsi="仿宋" w:eastAsia="仿宋" w:cs="仿宋"/>
                <w:bCs/>
                <w:sz w:val="21"/>
              </w:rPr>
            </w:pPr>
          </w:p>
        </w:tc>
        <w:tc>
          <w:tcPr>
            <w:tcW w:w="570"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D2</w:t>
            </w:r>
          </w:p>
        </w:tc>
        <w:tc>
          <w:tcPr>
            <w:tcW w:w="2932" w:type="dxa"/>
            <w:vAlign w:val="center"/>
          </w:tcPr>
          <w:p>
            <w:pPr>
              <w:spacing w:line="320" w:lineRule="exact"/>
              <w:ind w:right="-6" w:firstLine="0" w:firstLineChars="0"/>
              <w:jc w:val="left"/>
              <w:rPr>
                <w:rFonts w:ascii="仿宋" w:hAnsi="仿宋" w:eastAsia="仿宋" w:cs="仿宋"/>
                <w:sz w:val="21"/>
                <w:szCs w:val="21"/>
              </w:rPr>
            </w:pPr>
            <w:r>
              <w:rPr>
                <w:rFonts w:hint="eastAsia" w:ascii="仿宋" w:hAnsi="仿宋" w:eastAsia="仿宋" w:cs="仿宋"/>
                <w:b/>
                <w:bCs/>
                <w:sz w:val="21"/>
                <w:szCs w:val="21"/>
                <w:lang w:val="en-US" w:eastAsia="zh-CN"/>
              </w:rPr>
              <w:t>大学</w:t>
            </w:r>
            <w:r>
              <w:rPr>
                <w:rFonts w:hint="eastAsia" w:ascii="仿宋" w:hAnsi="仿宋" w:eastAsia="仿宋" w:cs="仿宋"/>
                <w:b/>
                <w:bCs/>
                <w:sz w:val="21"/>
                <w:szCs w:val="21"/>
              </w:rPr>
              <w:t>区，</w:t>
            </w:r>
            <w:r>
              <w:rPr>
                <w:rFonts w:hint="eastAsia" w:ascii="仿宋" w:hAnsi="仿宋" w:eastAsia="仿宋" w:cs="仿宋"/>
                <w:sz w:val="21"/>
                <w:szCs w:val="21"/>
              </w:rPr>
              <w:t>非深户籍，学区内租房或公共租赁房或其他类住房。</w:t>
            </w:r>
          </w:p>
        </w:tc>
        <w:tc>
          <w:tcPr>
            <w:tcW w:w="562" w:type="dxa"/>
            <w:vAlign w:val="center"/>
          </w:tcPr>
          <w:p>
            <w:pPr>
              <w:spacing w:line="320" w:lineRule="exact"/>
              <w:ind w:right="-6" w:firstLine="0" w:firstLineChars="0"/>
              <w:jc w:val="center"/>
              <w:rPr>
                <w:rFonts w:ascii="仿宋" w:hAnsi="仿宋" w:eastAsia="仿宋" w:cs="仿宋"/>
                <w:sz w:val="21"/>
                <w:szCs w:val="21"/>
              </w:rPr>
            </w:pPr>
            <w:r>
              <w:rPr>
                <w:rFonts w:hint="eastAsia" w:ascii="仿宋" w:hAnsi="仿宋" w:eastAsia="仿宋" w:cs="仿宋"/>
                <w:sz w:val="21"/>
                <w:szCs w:val="21"/>
              </w:rPr>
              <w:t>60</w:t>
            </w:r>
          </w:p>
        </w:tc>
        <w:tc>
          <w:tcPr>
            <w:tcW w:w="2791" w:type="dxa"/>
            <w:vMerge w:val="continue"/>
            <w:vAlign w:val="center"/>
          </w:tcPr>
          <w:p>
            <w:pPr>
              <w:spacing w:line="320" w:lineRule="exact"/>
              <w:ind w:right="-6" w:firstLine="409" w:firstLineChars="195"/>
              <w:jc w:val="left"/>
              <w:rPr>
                <w:rFonts w:ascii="仿宋" w:hAnsi="仿宋" w:eastAsia="仿宋" w:cs="仿宋"/>
                <w:bCs/>
                <w:sz w:val="21"/>
              </w:rPr>
            </w:pPr>
          </w:p>
        </w:tc>
        <w:tc>
          <w:tcPr>
            <w:tcW w:w="2730" w:type="dxa"/>
            <w:vMerge w:val="continue"/>
          </w:tcPr>
          <w:p>
            <w:pPr>
              <w:spacing w:line="320" w:lineRule="exact"/>
              <w:ind w:right="-6" w:firstLine="0" w:firstLineChars="0"/>
              <w:jc w:val="center"/>
              <w:rPr>
                <w:rFonts w:ascii="仿宋" w:hAnsi="仿宋" w:eastAsia="仿宋" w:cs="仿宋"/>
                <w:bCs/>
                <w:sz w:val="21"/>
              </w:rPr>
            </w:pPr>
          </w:p>
        </w:tc>
        <w:tc>
          <w:tcPr>
            <w:tcW w:w="660" w:type="dxa"/>
            <w:vMerge w:val="continue"/>
          </w:tcPr>
          <w:p>
            <w:pPr>
              <w:spacing w:line="320" w:lineRule="exact"/>
              <w:ind w:right="-6" w:firstLine="0" w:firstLineChars="0"/>
              <w:jc w:val="center"/>
              <w:rPr>
                <w:rFonts w:ascii="仿宋" w:hAnsi="仿宋" w:eastAsia="仿宋" w:cs="仿宋"/>
                <w:bCs/>
                <w:sz w:val="21"/>
              </w:rPr>
            </w:pPr>
          </w:p>
        </w:tc>
      </w:tr>
    </w:tbl>
    <w:p>
      <w:pPr>
        <w:autoSpaceDE w:val="0"/>
        <w:autoSpaceDN w:val="0"/>
        <w:adjustRightInd w:val="0"/>
        <w:snapToGrid w:val="0"/>
        <w:spacing w:line="240" w:lineRule="auto"/>
        <w:ind w:firstLine="480"/>
        <w:rPr>
          <w:kern w:val="0"/>
          <w:sz w:val="24"/>
        </w:rPr>
      </w:pPr>
      <w:r>
        <w:rPr>
          <w:rFonts w:hint="eastAsia"/>
          <w:kern w:val="0"/>
          <w:sz w:val="24"/>
        </w:rPr>
        <w:t>说明：</w:t>
      </w:r>
    </w:p>
    <w:p>
      <w:pPr>
        <w:numPr>
          <w:ilvl w:val="0"/>
          <w:numId w:val="1"/>
        </w:numPr>
        <w:autoSpaceDE w:val="0"/>
        <w:autoSpaceDN w:val="0"/>
        <w:adjustRightInd w:val="0"/>
        <w:snapToGrid w:val="0"/>
        <w:spacing w:line="240" w:lineRule="auto"/>
        <w:ind w:firstLine="480"/>
        <w:rPr>
          <w:kern w:val="0"/>
          <w:sz w:val="24"/>
        </w:rPr>
      </w:pPr>
      <w:r>
        <w:rPr>
          <w:rFonts w:hint="eastAsia"/>
          <w:kern w:val="0"/>
          <w:sz w:val="24"/>
          <w:lang w:val="en-US" w:eastAsia="zh-CN"/>
        </w:rPr>
        <w:t>结合志愿按照</w:t>
      </w:r>
      <w:bookmarkStart w:id="0" w:name="_GoBack"/>
      <w:bookmarkEnd w:id="0"/>
      <w:r>
        <w:rPr>
          <w:rFonts w:hint="eastAsia"/>
          <w:kern w:val="0"/>
          <w:sz w:val="24"/>
        </w:rPr>
        <w:t>先</w:t>
      </w:r>
      <w:r>
        <w:rPr>
          <w:rFonts w:hint="eastAsia"/>
          <w:kern w:val="0"/>
          <w:sz w:val="24"/>
          <w:lang w:val="en-US" w:eastAsia="zh-CN"/>
        </w:rPr>
        <w:t>学位类型</w:t>
      </w:r>
      <w:r>
        <w:rPr>
          <w:rFonts w:hint="eastAsia"/>
          <w:kern w:val="0"/>
          <w:sz w:val="24"/>
        </w:rPr>
        <w:t>后积分进行录取；</w:t>
      </w:r>
    </w:p>
    <w:p>
      <w:pPr>
        <w:autoSpaceDE w:val="0"/>
        <w:autoSpaceDN w:val="0"/>
        <w:adjustRightInd w:val="0"/>
        <w:snapToGrid w:val="0"/>
        <w:spacing w:line="240" w:lineRule="auto"/>
        <w:ind w:firstLine="480"/>
        <w:rPr>
          <w:kern w:val="0"/>
          <w:sz w:val="24"/>
        </w:rPr>
      </w:pPr>
      <w:r>
        <w:rPr>
          <w:rFonts w:hint="eastAsia"/>
          <w:kern w:val="0"/>
          <w:sz w:val="24"/>
        </w:rPr>
        <w:t>2．以上住房、社保、户籍积分项积分不封顶。</w:t>
      </w:r>
    </w:p>
    <w:p>
      <w:pPr>
        <w:autoSpaceDE w:val="0"/>
        <w:autoSpaceDN w:val="0"/>
        <w:adjustRightInd w:val="0"/>
        <w:snapToGrid w:val="0"/>
        <w:spacing w:line="240" w:lineRule="auto"/>
        <w:ind w:firstLine="480"/>
        <w:rPr>
          <w:kern w:val="0"/>
          <w:sz w:val="24"/>
        </w:rPr>
      </w:pPr>
      <w:r>
        <w:rPr>
          <w:rFonts w:hint="eastAsia"/>
          <w:kern w:val="0"/>
          <w:sz w:val="24"/>
        </w:rPr>
        <w:t>3．招生系统根据户籍、住房类别和社保等条件自动生成学位类型和积分，学位申请材料经“市政府政务服务数据管理平台”数据资源库后台比对和审核后，其学位类型和积分正式有效。</w:t>
      </w:r>
    </w:p>
    <w:p>
      <w:pPr>
        <w:autoSpaceDE w:val="0"/>
        <w:autoSpaceDN w:val="0"/>
        <w:adjustRightInd w:val="0"/>
        <w:snapToGrid w:val="0"/>
        <w:spacing w:line="240" w:lineRule="auto"/>
        <w:ind w:firstLine="480"/>
        <w:rPr>
          <w:rFonts w:hint="eastAsia"/>
          <w:kern w:val="0"/>
          <w:sz w:val="24"/>
        </w:rPr>
      </w:pPr>
      <w:r>
        <w:rPr>
          <w:rFonts w:hint="eastAsia"/>
          <w:kern w:val="0"/>
          <w:sz w:val="24"/>
        </w:rPr>
        <w:t>4．商品房及安居商品房购房合同、其他类住房可作为住房材料申请学位，但不参与积分。</w:t>
      </w:r>
    </w:p>
    <w:p>
      <w:pPr>
        <w:numPr>
          <w:ilvl w:val="0"/>
          <w:numId w:val="0"/>
        </w:numPr>
        <w:autoSpaceDE w:val="0"/>
        <w:autoSpaceDN w:val="0"/>
        <w:adjustRightInd w:val="0"/>
        <w:snapToGrid w:val="0"/>
        <w:spacing w:line="240" w:lineRule="auto"/>
        <w:ind w:firstLine="480" w:firstLineChars="200"/>
        <w:rPr>
          <w:rFonts w:hint="eastAsia" w:eastAsia="仿宋_GB2312"/>
          <w:kern w:val="0"/>
          <w:sz w:val="24"/>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040" w:right="720" w:bottom="720" w:left="720" w:header="851" w:footer="992" w:gutter="0"/>
          <w:pgNumType w:fmt="numberInDash" w:start="1"/>
          <w:cols w:space="0" w:num="1"/>
          <w:docGrid w:type="lines" w:linePitch="312" w:charSpace="0"/>
        </w:sectPr>
      </w:pPr>
      <w:r>
        <w:rPr>
          <w:rFonts w:hint="eastAsia"/>
          <w:kern w:val="0"/>
          <w:sz w:val="24"/>
          <w:lang w:val="en-US" w:eastAsia="zh-CN"/>
        </w:rPr>
        <w:t>5.</w:t>
      </w:r>
      <w:r>
        <w:rPr>
          <w:rFonts w:hint="eastAsia"/>
          <w:kern w:val="0"/>
          <w:sz w:val="24"/>
        </w:rPr>
        <w:t>同学位类型同分时，深户按照另一监护人的入深户时间排序（依次录取，录满为止）；非深户按照另一监护人持有的具有使用功能的《深圳特区居住证》办理时间排序（依次录取，录满为止）。</w:t>
      </w:r>
    </w:p>
    <w:p>
      <w:pPr>
        <w:ind w:left="0" w:leftChars="0" w:firstLine="0" w:firstLineChars="0"/>
        <w:jc w:val="left"/>
        <w:rPr>
          <w:bCs/>
        </w:rPr>
      </w:pPr>
    </w:p>
    <w:sectPr>
      <w:pgSz w:w="11906" w:h="16838"/>
      <w:pgMar w:top="1120" w:right="1800" w:bottom="665"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青鸟华光简小标宋">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67BE3"/>
    <w:multiLevelType w:val="singleLevel"/>
    <w:tmpl w:val="9DA67B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B7285"/>
    <w:rsid w:val="003208A9"/>
    <w:rsid w:val="0034684F"/>
    <w:rsid w:val="007B2647"/>
    <w:rsid w:val="008F544C"/>
    <w:rsid w:val="02D63AC0"/>
    <w:rsid w:val="0BBC24EC"/>
    <w:rsid w:val="0EC46A89"/>
    <w:rsid w:val="14AA46BE"/>
    <w:rsid w:val="217E5DDE"/>
    <w:rsid w:val="24373239"/>
    <w:rsid w:val="28425C2A"/>
    <w:rsid w:val="294404F4"/>
    <w:rsid w:val="2E2561EF"/>
    <w:rsid w:val="305B7285"/>
    <w:rsid w:val="344D3218"/>
    <w:rsid w:val="37420FB5"/>
    <w:rsid w:val="48455ACA"/>
    <w:rsid w:val="58BE267F"/>
    <w:rsid w:val="5B5C2CF1"/>
    <w:rsid w:val="5E5E4157"/>
    <w:rsid w:val="6EDF50B8"/>
    <w:rsid w:val="701E2EC0"/>
    <w:rsid w:val="741927FC"/>
    <w:rsid w:val="759F705D"/>
    <w:rsid w:val="78C557B0"/>
    <w:rsid w:val="79FA05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0"/>
    <w:rPr>
      <w:rFonts w:ascii="仿宋_GB2312" w:hAnsi="仿宋_GB2312" w:eastAsia="仿宋_GB2312" w:cs="仿宋_GB2312"/>
      <w:kern w:val="2"/>
      <w:sz w:val="18"/>
      <w:szCs w:val="18"/>
    </w:rPr>
  </w:style>
  <w:style w:type="character" w:customStyle="1" w:styleId="7">
    <w:name w:val="页脚 Char"/>
    <w:basedOn w:val="5"/>
    <w:link w:val="2"/>
    <w:qFormat/>
    <w:uiPriority w:val="0"/>
    <w:rPr>
      <w:rFonts w:ascii="仿宋_GB2312" w:hAnsi="仿宋_GB2312" w:eastAsia="仿宋_GB2312" w:cs="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625</Words>
  <Characters>3563</Characters>
  <Lines>29</Lines>
  <Paragraphs>8</Paragraphs>
  <TotalTime>55</TotalTime>
  <ScaleCrop>false</ScaleCrop>
  <LinksUpToDate>false</LinksUpToDate>
  <CharactersWithSpaces>4180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2020-11-17T01:15:00Z</dcterms:created>
  <dc:creator>林灵</dc:creator>
  <cp:lastModifiedBy>iki</cp:lastModifiedBy>
  <cp:lastPrinted>2021-03-12T01:21:00Z</cp:lastPrinted>
  <dcterms:modified xsi:type="dcterms:W3CDTF">2021-03-16T12:50:47Z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