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s="Arial"/>
          <w:kern w:val="0"/>
          <w:szCs w:val="32"/>
          <w:lang w:eastAsia="zh-CN"/>
        </w:rPr>
      </w:pPr>
      <w:r>
        <w:rPr>
          <w:rFonts w:hint="eastAsia" w:ascii="黑体" w:hAnsi="黑体" w:eastAsia="黑体" w:cs="Arial"/>
          <w:kern w:val="0"/>
          <w:szCs w:val="32"/>
        </w:rPr>
        <w:t>附件</w:t>
      </w:r>
      <w:r>
        <w:rPr>
          <w:rFonts w:hint="eastAsia" w:ascii="黑体" w:hAnsi="黑体" w:eastAsia="黑体" w:cs="Arial"/>
          <w:kern w:val="0"/>
          <w:szCs w:val="32"/>
          <w:lang w:val="en-US" w:eastAsia="zh-CN"/>
        </w:rPr>
        <w:t>3</w:t>
      </w:r>
    </w:p>
    <w:p>
      <w:pPr>
        <w:keepNext w:val="0"/>
        <w:keepLines w:val="0"/>
        <w:pageBreakBefore w:val="0"/>
        <w:kinsoku/>
        <w:wordWrap/>
        <w:overflowPunct/>
        <w:topLinePunct w:val="0"/>
        <w:autoSpaceDE/>
        <w:autoSpaceDN/>
        <w:bidi w:val="0"/>
        <w:adjustRightInd/>
        <w:snapToGrid/>
        <w:spacing w:line="560" w:lineRule="exact"/>
        <w:ind w:firstLine="832"/>
        <w:jc w:val="center"/>
        <w:textAlignment w:val="auto"/>
        <w:rPr>
          <w:rFonts w:ascii="方正小标宋简体" w:hAnsi="方正小标宋简体" w:eastAsia="方正小标宋简体" w:cs="方正小标宋简体"/>
          <w:spacing w:val="-12"/>
          <w:sz w:val="44"/>
          <w:szCs w:val="44"/>
        </w:rPr>
      </w:pPr>
      <w:r>
        <w:rPr>
          <w:rFonts w:hint="eastAsia" w:ascii="华文中宋" w:hAnsi="华文中宋" w:eastAsia="华文中宋" w:cs="华文中宋"/>
          <w:spacing w:val="-12"/>
          <w:sz w:val="44"/>
          <w:szCs w:val="44"/>
        </w:rPr>
        <w:t>部分不合格项目小知识</w:t>
      </w:r>
    </w:p>
    <w:p>
      <w:pPr>
        <w:pStyle w:val="2"/>
        <w:keepNext w:val="0"/>
        <w:keepLines w:val="0"/>
        <w:pageBreakBefore w:val="0"/>
        <w:kinsoku/>
        <w:wordWrap/>
        <w:overflowPunct/>
        <w:topLinePunct w:val="0"/>
        <w:autoSpaceDE/>
        <w:autoSpaceDN/>
        <w:bidi w:val="0"/>
        <w:adjustRightInd/>
        <w:snapToGrid/>
        <w:spacing w:after="0" w:line="560" w:lineRule="exact"/>
        <w:ind w:left="640" w:firstLine="480"/>
        <w:textAlignment w:val="auto"/>
      </w:pP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黑体" w:hAnsi="黑体" w:eastAsia="黑体" w:cs="黑体"/>
          <w:b w:val="0"/>
          <w:bCs w:val="0"/>
          <w:szCs w:val="32"/>
        </w:rPr>
      </w:pPr>
      <w:r>
        <w:rPr>
          <w:rFonts w:hint="eastAsia" w:ascii="黑体" w:hAnsi="黑体" w:eastAsia="黑体" w:cs="黑体"/>
          <w:b w:val="0"/>
          <w:bCs w:val="0"/>
          <w:szCs w:val="32"/>
        </w:rPr>
        <w:t>一、不合格项目小知识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200"/>
        <w:jc w:val="left"/>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lang w:eastAsia="zh-CN"/>
        </w:rPr>
        <w:t>（一）</w:t>
      </w:r>
      <w:r>
        <w:rPr>
          <w:rFonts w:ascii="楷体_GB2312" w:hAnsi="宋体" w:eastAsia="楷体_GB2312" w:cs="宋体"/>
          <w:b/>
          <w:kern w:val="0"/>
          <w:sz w:val="32"/>
          <w:szCs w:val="32"/>
        </w:rPr>
        <w:t>过氧化值</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仿宋_GB2312" w:hAnsi="仿宋" w:eastAsia="仿宋_GB2312" w:cs="宋体"/>
          <w:color w:val="auto"/>
          <w:kern w:val="0"/>
          <w:sz w:val="32"/>
          <w:szCs w:val="32"/>
          <w:lang w:val="zh-CN"/>
        </w:rPr>
      </w:pPr>
      <w:r>
        <w:rPr>
          <w:rFonts w:ascii="仿宋_GB2312" w:hAnsi="仿宋" w:eastAsia="仿宋_GB2312" w:cs="宋体"/>
          <w:kern w:val="0"/>
          <w:sz w:val="32"/>
          <w:szCs w:val="32"/>
          <w:lang w:val="zh-CN"/>
        </w:rPr>
        <w:t>过氧化值（以脂肪计）主要反映食品中油脂是否氧化变质。随着油脂氧化，过氧化值会逐步升高，虽一般不会对人体的健康产生损害，但严重时会导致肠胃不适、腹泻等症状。</w:t>
      </w:r>
      <w:r>
        <w:rPr>
          <w:rFonts w:hint="eastAsia" w:ascii="仿宋_GB2312" w:hAnsi="仿宋" w:eastAsia="仿宋_GB2312" w:cs="仿宋"/>
          <w:sz w:val="32"/>
          <w:szCs w:val="32"/>
        </w:rPr>
        <w:t>《食品安全国家标准 腌腊肉制品》（GB 2730-2015）中规定，腌腊肉制品的过氧化值(以脂肪计)应≤0.5g/100g。</w:t>
      </w:r>
      <w:r>
        <w:rPr>
          <w:rFonts w:ascii="仿宋_GB2312" w:hAnsi="仿宋" w:eastAsia="仿宋_GB2312" w:cs="宋体"/>
          <w:kern w:val="0"/>
          <w:sz w:val="32"/>
          <w:szCs w:val="32"/>
          <w:lang w:val="zh-CN"/>
        </w:rPr>
        <w:t>《食品安全国家标准</w:t>
      </w:r>
      <w:r>
        <w:rPr>
          <w:rFonts w:hint="eastAsia" w:ascii="仿宋_GB2312" w:hAnsi="仿宋" w:eastAsia="仿宋_GB2312" w:cs="宋体"/>
          <w:kern w:val="0"/>
          <w:sz w:val="32"/>
          <w:szCs w:val="32"/>
          <w:lang w:val="zh-CN"/>
        </w:rPr>
        <w:t xml:space="preserve"> 坚果与籽类</w:t>
      </w:r>
      <w:r>
        <w:rPr>
          <w:rFonts w:ascii="仿宋_GB2312" w:hAnsi="仿宋" w:eastAsia="仿宋_GB2312" w:cs="宋体"/>
          <w:kern w:val="0"/>
          <w:sz w:val="32"/>
          <w:szCs w:val="32"/>
          <w:lang w:val="zh-CN"/>
        </w:rPr>
        <w:t>食品》（GB 1</w:t>
      </w:r>
      <w:r>
        <w:rPr>
          <w:rFonts w:hint="eastAsia" w:ascii="仿宋_GB2312" w:hAnsi="仿宋" w:eastAsia="仿宋_GB2312" w:cs="宋体"/>
          <w:kern w:val="0"/>
          <w:sz w:val="32"/>
          <w:szCs w:val="32"/>
          <w:lang w:val="zh-CN"/>
        </w:rPr>
        <w:t>9300-2014</w:t>
      </w:r>
      <w:r>
        <w:rPr>
          <w:rFonts w:ascii="仿宋_GB2312" w:hAnsi="仿宋" w:eastAsia="仿宋_GB2312" w:cs="宋体"/>
          <w:kern w:val="0"/>
          <w:sz w:val="32"/>
          <w:szCs w:val="32"/>
          <w:lang w:val="zh-CN"/>
        </w:rPr>
        <w:t>）中规定</w:t>
      </w:r>
      <w:r>
        <w:rPr>
          <w:rFonts w:hint="eastAsia" w:ascii="仿宋_GB2312" w:hAnsi="仿宋" w:eastAsia="仿宋_GB2312" w:cs="宋体"/>
          <w:kern w:val="0"/>
          <w:sz w:val="32"/>
          <w:szCs w:val="32"/>
          <w:lang w:val="zh-CN"/>
        </w:rPr>
        <w:t>，</w:t>
      </w:r>
      <w:r>
        <w:rPr>
          <w:rFonts w:hint="eastAsia" w:ascii="仿宋_GB2312" w:hAnsi="仿宋" w:eastAsia="仿宋_GB2312"/>
          <w:sz w:val="32"/>
          <w:szCs w:val="32"/>
        </w:rPr>
        <w:t>其他熟制坚果和籽类食品</w:t>
      </w:r>
      <w:r>
        <w:rPr>
          <w:rFonts w:hint="eastAsia" w:ascii="仿宋_GB2312" w:hAnsi="仿宋" w:eastAsia="仿宋_GB2312" w:cs="宋体"/>
          <w:kern w:val="0"/>
          <w:sz w:val="32"/>
          <w:szCs w:val="32"/>
          <w:lang w:val="zh-CN"/>
        </w:rPr>
        <w:t>过氧化值应</w:t>
      </w:r>
      <w:r>
        <w:rPr>
          <w:rFonts w:hint="eastAsia" w:ascii="仿宋_GB2312" w:hAnsi="仿宋" w:eastAsia="仿宋_GB2312"/>
          <w:sz w:val="32"/>
          <w:szCs w:val="32"/>
        </w:rPr>
        <w:t>≤0.50g/100g。</w:t>
      </w:r>
      <w:r>
        <w:rPr>
          <w:rFonts w:ascii="仿宋_GB2312" w:hAnsi="仿宋" w:eastAsia="仿宋_GB2312" w:cs="宋体"/>
          <w:kern w:val="0"/>
          <w:sz w:val="32"/>
          <w:szCs w:val="32"/>
          <w:lang w:val="zh-CN"/>
        </w:rPr>
        <w:t>过氧化值超标的原因，可能</w:t>
      </w:r>
      <w:r>
        <w:rPr>
          <w:rFonts w:ascii="仿宋_GB2312" w:hAnsi="仿宋" w:eastAsia="仿宋_GB2312" w:cs="宋体"/>
          <w:color w:val="auto"/>
          <w:kern w:val="0"/>
          <w:sz w:val="32"/>
          <w:szCs w:val="32"/>
          <w:lang w:val="zh-CN"/>
        </w:rPr>
        <w:t>是</w:t>
      </w:r>
      <w:r>
        <w:rPr>
          <w:rFonts w:hint="eastAsia" w:ascii="仿宋_GB2312" w:hAnsi="仿宋" w:cs="宋体"/>
          <w:color w:val="auto"/>
          <w:kern w:val="0"/>
          <w:sz w:val="32"/>
          <w:szCs w:val="32"/>
          <w:lang w:val="zh-CN"/>
        </w:rPr>
        <w:t>产品因</w:t>
      </w:r>
      <w:r>
        <w:rPr>
          <w:rFonts w:ascii="仿宋_GB2312" w:hAnsi="仿宋" w:eastAsia="仿宋_GB2312" w:cs="宋体"/>
          <w:color w:val="auto"/>
          <w:kern w:val="0"/>
          <w:sz w:val="32"/>
          <w:szCs w:val="32"/>
          <w:lang w:val="zh-CN"/>
        </w:rPr>
        <w:t>储存不当导致</w:t>
      </w:r>
      <w:r>
        <w:rPr>
          <w:rFonts w:hint="eastAsia" w:ascii="仿宋_GB2312" w:hAnsi="仿宋" w:cs="宋体"/>
          <w:color w:val="auto"/>
          <w:kern w:val="0"/>
          <w:sz w:val="32"/>
          <w:szCs w:val="32"/>
          <w:lang w:val="zh-CN"/>
        </w:rPr>
        <w:t>其中的</w:t>
      </w:r>
      <w:r>
        <w:rPr>
          <w:rFonts w:ascii="仿宋_GB2312" w:hAnsi="仿宋" w:eastAsia="仿宋_GB2312" w:cs="宋体"/>
          <w:color w:val="auto"/>
          <w:kern w:val="0"/>
          <w:sz w:val="32"/>
          <w:szCs w:val="32"/>
          <w:lang w:val="zh-CN"/>
        </w:rPr>
        <w:t>脂肪氧化</w:t>
      </w:r>
      <w:r>
        <w:rPr>
          <w:rFonts w:hint="eastAsia" w:ascii="仿宋_GB2312" w:hAnsi="仿宋" w:cs="宋体"/>
          <w:color w:val="auto"/>
          <w:kern w:val="0"/>
          <w:sz w:val="32"/>
          <w:szCs w:val="32"/>
          <w:lang w:val="zh-CN"/>
        </w:rPr>
        <w:t>或</w:t>
      </w:r>
      <w:r>
        <w:rPr>
          <w:rFonts w:ascii="仿宋_GB2312" w:hAnsi="仿宋" w:eastAsia="仿宋_GB2312" w:cs="宋体"/>
          <w:color w:val="auto"/>
          <w:kern w:val="0"/>
          <w:sz w:val="32"/>
          <w:szCs w:val="32"/>
          <w:lang w:val="zh-CN"/>
        </w:rPr>
        <w:t>生产用油变质，或</w:t>
      </w:r>
      <w:r>
        <w:rPr>
          <w:rFonts w:hint="eastAsia" w:ascii="仿宋_GB2312" w:hAnsi="仿宋" w:cs="宋体"/>
          <w:color w:val="auto"/>
          <w:kern w:val="0"/>
          <w:sz w:val="32"/>
          <w:szCs w:val="32"/>
          <w:lang w:val="zh-CN"/>
        </w:rPr>
        <w:t>因产品</w:t>
      </w:r>
      <w:r>
        <w:rPr>
          <w:rFonts w:ascii="仿宋_GB2312" w:hAnsi="仿宋" w:eastAsia="仿宋_GB2312" w:cs="宋体"/>
          <w:color w:val="auto"/>
          <w:kern w:val="0"/>
          <w:sz w:val="32"/>
          <w:szCs w:val="32"/>
          <w:lang w:val="zh-CN"/>
        </w:rPr>
        <w:t>漏气、储存过程中环境条件控制不当</w:t>
      </w:r>
      <w:r>
        <w:rPr>
          <w:rFonts w:hint="eastAsia" w:ascii="仿宋_GB2312" w:hAnsi="仿宋" w:cs="宋体"/>
          <w:color w:val="auto"/>
          <w:kern w:val="0"/>
          <w:sz w:val="32"/>
          <w:szCs w:val="32"/>
          <w:lang w:val="zh-CN"/>
        </w:rPr>
        <w:t>而</w:t>
      </w:r>
      <w:r>
        <w:rPr>
          <w:rFonts w:ascii="仿宋_GB2312" w:hAnsi="仿宋" w:eastAsia="仿宋_GB2312" w:cs="宋体"/>
          <w:color w:val="auto"/>
          <w:kern w:val="0"/>
          <w:sz w:val="32"/>
          <w:szCs w:val="32"/>
          <w:lang w:val="zh-CN"/>
        </w:rPr>
        <w:t>导致。</w:t>
      </w:r>
    </w:p>
    <w:p>
      <w:pPr>
        <w:spacing w:line="560" w:lineRule="exact"/>
        <w:ind w:firstLine="745" w:firstLineChars="232"/>
        <w:rPr>
          <w:rFonts w:ascii="楷体_GB2312" w:hAnsi="楷体" w:eastAsia="楷体_GB2312" w:cs="仿宋_GB2312"/>
          <w:b/>
          <w:sz w:val="32"/>
          <w:szCs w:val="32"/>
        </w:rPr>
      </w:pPr>
      <w:r>
        <w:rPr>
          <w:rFonts w:hint="eastAsia" w:ascii="楷体_GB2312" w:hAnsi="楷体" w:eastAsia="楷体_GB2312" w:cs="仿宋_GB2312"/>
          <w:b/>
          <w:color w:val="000000"/>
          <w:sz w:val="32"/>
          <w:szCs w:val="32"/>
        </w:rPr>
        <w:t>（</w:t>
      </w:r>
      <w:r>
        <w:rPr>
          <w:rFonts w:hint="eastAsia" w:ascii="楷体_GB2312" w:hAnsi="楷体" w:eastAsia="楷体_GB2312" w:cs="仿宋_GB2312"/>
          <w:b/>
          <w:color w:val="000000"/>
          <w:sz w:val="32"/>
          <w:szCs w:val="32"/>
          <w:lang w:eastAsia="zh-CN"/>
        </w:rPr>
        <w:t>二</w:t>
      </w:r>
      <w:r>
        <w:rPr>
          <w:rFonts w:hint="eastAsia" w:ascii="楷体_GB2312" w:hAnsi="楷体" w:eastAsia="楷体_GB2312" w:cs="仿宋_GB2312"/>
          <w:b/>
          <w:color w:val="000000"/>
          <w:sz w:val="32"/>
          <w:szCs w:val="32"/>
        </w:rPr>
        <w:t>）</w:t>
      </w:r>
      <w:r>
        <w:rPr>
          <w:rFonts w:hint="eastAsia" w:ascii="楷体_GB2312" w:hAnsi="楷体" w:eastAsia="楷体_GB2312" w:cs="宋体"/>
          <w:b/>
          <w:color w:val="000000"/>
          <w:kern w:val="0"/>
          <w:sz w:val="32"/>
          <w:szCs w:val="32"/>
        </w:rPr>
        <w:t>铝的残留量</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铝作为食品添加剂硫酸铝钾/硫酸铝铵的重要成分，经常会添加在食物中作为膨松剂或稳定剂。</w:t>
      </w:r>
      <w:r>
        <w:rPr>
          <w:rFonts w:hint="eastAsia" w:ascii="仿宋_GB2312" w:hAnsi="仿宋" w:eastAsia="仿宋_GB2312"/>
          <w:sz w:val="32"/>
          <w:szCs w:val="32"/>
        </w:rPr>
        <w:t>《食品安全国家标准 食品添加剂使用标准》（GB 2760-2014）中规定，</w:t>
      </w:r>
      <w:r>
        <w:rPr>
          <w:rFonts w:hint="eastAsia" w:ascii="仿宋_GB2312" w:hAnsi="仿宋" w:cs="仿宋_GB2312"/>
          <w:sz w:val="32"/>
          <w:szCs w:val="32"/>
          <w:lang w:eastAsia="zh-CN"/>
        </w:rPr>
        <w:t>油炸面制品</w:t>
      </w:r>
      <w:r>
        <w:rPr>
          <w:rFonts w:hint="eastAsia" w:ascii="仿宋_GB2312" w:hAnsi="仿宋" w:eastAsia="仿宋_GB2312" w:cs="仿宋_GB2312"/>
          <w:sz w:val="32"/>
          <w:szCs w:val="32"/>
        </w:rPr>
        <w:t>中的铝的残留量(干样品，以Al计)应≤</w:t>
      </w:r>
      <w:r>
        <w:rPr>
          <w:rFonts w:hint="eastAsia" w:ascii="仿宋_GB2312" w:hAnsi="仿宋" w:cs="仿宋_GB2312"/>
          <w:sz w:val="32"/>
          <w:szCs w:val="32"/>
          <w:lang w:val="en-US" w:eastAsia="zh-CN"/>
        </w:rPr>
        <w:t>1</w:t>
      </w:r>
      <w:r>
        <w:rPr>
          <w:rFonts w:hint="eastAsia" w:ascii="仿宋_GB2312" w:hAnsi="仿宋" w:eastAsia="仿宋_GB2312" w:cs="仿宋_GB2312"/>
          <w:sz w:val="32"/>
          <w:szCs w:val="32"/>
        </w:rPr>
        <w:t>00mg/kg</w:t>
      </w:r>
      <w:r>
        <w:rPr>
          <w:rFonts w:hint="eastAsia" w:ascii="仿宋_GB2312" w:hAnsi="仿宋" w:cs="仿宋_GB2312"/>
          <w:sz w:val="32"/>
          <w:szCs w:val="32"/>
          <w:lang w:val="en-US" w:eastAsia="zh-CN"/>
        </w:rPr>
        <w:t>;</w:t>
      </w:r>
      <w:r>
        <w:rPr>
          <w:rFonts w:hint="eastAsia" w:ascii="仿宋_GB2312" w:hAnsi="仿宋" w:eastAsia="仿宋_GB2312" w:cs="仿宋_GB2312"/>
          <w:sz w:val="32"/>
          <w:szCs w:val="32"/>
          <w:lang w:eastAsia="zh-CN"/>
        </w:rPr>
        <w:t>粉丝粉条</w:t>
      </w:r>
      <w:r>
        <w:rPr>
          <w:rFonts w:hint="eastAsia" w:ascii="仿宋_GB2312" w:hAnsi="仿宋" w:eastAsia="仿宋_GB2312" w:cs="仿宋_GB2312"/>
          <w:sz w:val="32"/>
          <w:szCs w:val="32"/>
        </w:rPr>
        <w:t>中的铝的残留量(干样品，以Al计)应≤</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00mg/kg。</w:t>
      </w:r>
      <w:r>
        <w:rPr>
          <w:rFonts w:hint="eastAsia" w:ascii="仿宋_GB2312" w:hAnsi="仿宋" w:eastAsia="仿宋_GB2312"/>
          <w:sz w:val="32"/>
          <w:szCs w:val="32"/>
        </w:rPr>
        <w:t>本次不合格</w:t>
      </w:r>
      <w:r>
        <w:rPr>
          <w:rFonts w:hint="eastAsia" w:ascii="仿宋_GB2312" w:hAnsi="仿宋"/>
          <w:sz w:val="32"/>
          <w:szCs w:val="32"/>
          <w:lang w:eastAsia="zh-CN"/>
        </w:rPr>
        <w:t>的水晶粉丝</w:t>
      </w:r>
      <w:r>
        <w:rPr>
          <w:rFonts w:hint="eastAsia" w:ascii="仿宋_GB2312" w:hAnsi="仿宋" w:eastAsia="仿宋_GB2312"/>
          <w:sz w:val="32"/>
          <w:szCs w:val="32"/>
        </w:rPr>
        <w:t>样品标签明示</w:t>
      </w:r>
      <w:r>
        <w:rPr>
          <w:rFonts w:hint="eastAsia" w:ascii="仿宋_GB2312" w:hAnsi="仿宋"/>
          <w:sz w:val="32"/>
          <w:szCs w:val="32"/>
          <w:lang w:eastAsia="zh-CN"/>
        </w:rPr>
        <w:t>不得使用铝类食品添加剂。</w:t>
      </w:r>
      <w:r>
        <w:rPr>
          <w:rFonts w:hint="eastAsia" w:ascii="仿宋_GB2312" w:hAnsi="仿宋" w:eastAsia="仿宋_GB2312" w:cs="仿宋_GB2312"/>
          <w:sz w:val="32"/>
          <w:szCs w:val="32"/>
        </w:rPr>
        <w:t>铝有一定的慢性毒性，摄入铝超标的食品，在体内可造成铝的蓄积，轻者会使食欲减退，引起贫血，重者会表现为神经毒性，使人运动失调、记忆力衰退等。</w:t>
      </w:r>
    </w:p>
    <w:p>
      <w:pPr>
        <w:rPr>
          <w:rFonts w:ascii="楷体_GB2312" w:hAnsi="宋体" w:eastAsia="楷体_GB2312" w:cs="宋体"/>
          <w:b/>
          <w:kern w:val="0"/>
          <w:sz w:val="32"/>
          <w:szCs w:val="32"/>
        </w:rPr>
      </w:pPr>
      <w:r>
        <w:rPr>
          <w:rFonts w:hint="eastAsia" w:ascii="楷体_GB2312" w:hAnsi="宋体" w:eastAsia="楷体_GB2312" w:cs="宋体"/>
          <w:b/>
          <w:kern w:val="0"/>
          <w:sz w:val="32"/>
          <w:szCs w:val="32"/>
        </w:rPr>
        <w:t>（</w:t>
      </w:r>
      <w:r>
        <w:rPr>
          <w:rFonts w:hint="eastAsia" w:ascii="楷体_GB2312" w:hAnsi="宋体" w:eastAsia="楷体_GB2312" w:cs="宋体"/>
          <w:b/>
          <w:kern w:val="0"/>
          <w:sz w:val="32"/>
          <w:szCs w:val="32"/>
          <w:lang w:eastAsia="zh-CN"/>
        </w:rPr>
        <w:t>三</w:t>
      </w:r>
      <w:r>
        <w:rPr>
          <w:rFonts w:hint="eastAsia" w:ascii="楷体_GB2312" w:hAnsi="宋体" w:eastAsia="楷体_GB2312" w:cs="宋体"/>
          <w:b/>
          <w:kern w:val="0"/>
          <w:sz w:val="32"/>
          <w:szCs w:val="32"/>
        </w:rPr>
        <w:t>）五氯酚酸钠</w:t>
      </w:r>
    </w:p>
    <w:p>
      <w:pPr>
        <w:spacing w:line="560" w:lineRule="exact"/>
        <w:ind w:firstLine="640" w:firstLineChars="200"/>
        <w:rPr>
          <w:rFonts w:ascii="仿宋_GB2312" w:hAnsi="楷体" w:eastAsia="仿宋_GB2312" w:cs="Arial"/>
          <w:b/>
          <w:sz w:val="32"/>
          <w:szCs w:val="32"/>
          <w:shd w:val="clear" w:color="auto" w:fill="FFFFFF"/>
        </w:rPr>
      </w:pPr>
      <w:r>
        <w:rPr>
          <w:rFonts w:hint="eastAsia" w:ascii="仿宋_GB2312" w:hAnsi="仿宋" w:eastAsia="仿宋_GB2312"/>
          <w:sz w:val="32"/>
          <w:szCs w:val="32"/>
        </w:rPr>
        <w:t>五氯酚酸钠属于有机氯农药，是氯代烃类杀虫剂和杀真菌剂。《中华人民共和国农业农村部公告第250号》中规定，五氯酚酸钠为禁止使用的药物，在动物性食品中不得检出。五氯酚酸钠能抑制生物代谢过程中氧化磷酸化作用, 会造成人体的肝、肾及中枢神经系统的损害。</w:t>
      </w:r>
    </w:p>
    <w:p>
      <w:pPr>
        <w:spacing w:line="560" w:lineRule="exact"/>
        <w:ind w:firstLine="643" w:firstLineChars="200"/>
        <w:rPr>
          <w:rFonts w:ascii="楷体_GB2312" w:hAnsi="楷体" w:eastAsia="楷体_GB2312" w:cs="仿宋_GB2312"/>
          <w:b/>
          <w:sz w:val="32"/>
          <w:szCs w:val="32"/>
        </w:rPr>
      </w:pPr>
      <w:r>
        <w:rPr>
          <w:rFonts w:hint="eastAsia" w:ascii="楷体_GB2312" w:hAnsi="楷体" w:eastAsia="楷体_GB2312" w:cs="仿宋_GB2312"/>
          <w:b/>
          <w:sz w:val="32"/>
          <w:szCs w:val="32"/>
        </w:rPr>
        <w:t>（</w:t>
      </w:r>
      <w:r>
        <w:rPr>
          <w:rFonts w:hint="eastAsia" w:ascii="楷体_GB2312" w:hAnsi="楷体" w:eastAsia="楷体_GB2312" w:cs="仿宋_GB2312"/>
          <w:b/>
          <w:sz w:val="32"/>
          <w:szCs w:val="32"/>
          <w:lang w:eastAsia="zh-CN"/>
        </w:rPr>
        <w:t>四</w:t>
      </w:r>
      <w:r>
        <w:rPr>
          <w:rFonts w:hint="eastAsia" w:ascii="楷体_GB2312" w:hAnsi="楷体" w:eastAsia="楷体_GB2312" w:cs="仿宋_GB2312"/>
          <w:b/>
          <w:sz w:val="32"/>
          <w:szCs w:val="32"/>
        </w:rPr>
        <w:t>）脱氢乙酸及其钠盐</w:t>
      </w:r>
    </w:p>
    <w:p>
      <w:pPr>
        <w:spacing w:line="560" w:lineRule="exact"/>
        <w:ind w:firstLine="640" w:firstLineChars="200"/>
        <w:rPr>
          <w:rFonts w:hint="eastAsia" w:ascii="仿宋_GB2312" w:hAnsi="仿宋" w:eastAsia="仿宋_GB2312" w:cs="宋体"/>
          <w:kern w:val="0"/>
          <w:sz w:val="32"/>
          <w:szCs w:val="32"/>
          <w:lang w:val="zh-CN"/>
        </w:rPr>
      </w:pPr>
      <w:r>
        <w:rPr>
          <w:rFonts w:hint="eastAsia" w:ascii="仿宋_GB2312" w:hAnsi="仿宋" w:eastAsia="仿宋_GB2312"/>
          <w:color w:val="auto"/>
          <w:sz w:val="32"/>
          <w:szCs w:val="32"/>
        </w:rPr>
        <w:t>脱氢乙酸及其钠盐因对霉菌具有较强的抑制作用而被广泛用作防腐剂使用。《食品安全国家标准 食品添加剂使用标准》（GB 2760-2014）中规定，</w:t>
      </w:r>
      <w:r>
        <w:rPr>
          <w:rFonts w:hint="eastAsia" w:ascii="仿宋_GB2312" w:hAnsi="仿宋"/>
          <w:color w:val="auto"/>
          <w:sz w:val="32"/>
          <w:szCs w:val="32"/>
          <w:lang w:eastAsia="zh-CN"/>
        </w:rPr>
        <w:t>米粉制品</w:t>
      </w:r>
      <w:r>
        <w:rPr>
          <w:rFonts w:hint="eastAsia" w:ascii="仿宋_GB2312" w:hAnsi="仿宋" w:eastAsia="仿宋_GB2312"/>
          <w:color w:val="auto"/>
          <w:sz w:val="32"/>
          <w:szCs w:val="32"/>
        </w:rPr>
        <w:t>中不得使用脱氢乙酸及其钠盐</w:t>
      </w:r>
      <w:r>
        <w:rPr>
          <w:rFonts w:hint="eastAsia" w:ascii="仿宋_GB2312" w:hAnsi="仿宋"/>
          <w:color w:val="auto"/>
          <w:sz w:val="32"/>
          <w:szCs w:val="32"/>
          <w:lang w:eastAsia="zh-CN"/>
        </w:rPr>
        <w:t>；糕点中</w:t>
      </w:r>
      <w:r>
        <w:rPr>
          <w:rFonts w:hint="eastAsia" w:ascii="仿宋_GB2312" w:hAnsi="仿宋" w:eastAsia="仿宋_GB2312"/>
          <w:color w:val="auto"/>
          <w:sz w:val="32"/>
          <w:szCs w:val="32"/>
        </w:rPr>
        <w:t>脱氢乙酸及其钠盐</w:t>
      </w:r>
      <w:r>
        <w:rPr>
          <w:rFonts w:hint="eastAsia" w:ascii="仿宋_GB2312" w:hAnsi="仿宋"/>
          <w:color w:val="auto"/>
          <w:sz w:val="32"/>
          <w:szCs w:val="32"/>
          <w:lang w:eastAsia="zh-CN"/>
        </w:rPr>
        <w:t>应</w:t>
      </w:r>
      <w:r>
        <w:rPr>
          <w:rFonts w:hint="eastAsia" w:ascii="仿宋_GB2312" w:hAnsi="仿宋" w:eastAsia="仿宋_GB2312" w:cs="仿宋_GB2312"/>
          <w:sz w:val="32"/>
          <w:szCs w:val="32"/>
        </w:rPr>
        <w:t>≤</w:t>
      </w:r>
      <w:r>
        <w:rPr>
          <w:rFonts w:hint="eastAsia" w:ascii="仿宋_GB2312" w:hAnsi="仿宋" w:cs="仿宋_GB2312"/>
          <w:sz w:val="32"/>
          <w:szCs w:val="32"/>
          <w:lang w:val="en-US" w:eastAsia="zh-CN"/>
        </w:rPr>
        <w:t>0.5</w:t>
      </w:r>
      <w:r>
        <w:rPr>
          <w:rFonts w:hint="eastAsia" w:ascii="仿宋_GB2312" w:hAnsi="仿宋" w:eastAsia="仿宋_GB2312" w:cs="仿宋_GB2312"/>
          <w:sz w:val="32"/>
          <w:szCs w:val="32"/>
        </w:rPr>
        <w:t>g/kg</w:t>
      </w:r>
      <w:r>
        <w:rPr>
          <w:rFonts w:hint="eastAsia" w:ascii="仿宋_GB2312" w:hAnsi="仿宋" w:eastAsia="仿宋_GB2312"/>
          <w:color w:val="auto"/>
          <w:sz w:val="32"/>
          <w:szCs w:val="32"/>
        </w:rPr>
        <w:t>。</w:t>
      </w:r>
      <w:r>
        <w:rPr>
          <w:rFonts w:hint="eastAsia" w:ascii="仿宋_GB2312" w:hAnsi="仿宋" w:eastAsia="仿宋_GB2312" w:cs="宋体"/>
          <w:color w:val="auto"/>
          <w:kern w:val="0"/>
          <w:sz w:val="32"/>
          <w:szCs w:val="32"/>
          <w:lang w:val="zh-CN"/>
        </w:rPr>
        <w:t>由于脱氢乙酸可与血浆中的白蛋白或组织中蛋白质的胺基结合，若长期过</w:t>
      </w:r>
      <w:r>
        <w:rPr>
          <w:rFonts w:hint="eastAsia" w:ascii="仿宋_GB2312" w:hAnsi="仿宋" w:eastAsia="仿宋_GB2312" w:cs="宋体"/>
          <w:kern w:val="0"/>
          <w:sz w:val="32"/>
          <w:szCs w:val="32"/>
          <w:lang w:val="zh-CN"/>
        </w:rPr>
        <w:t>量食用脱氢乙酸含量超标的食品可能会引起肝、肾和中枢神经系统的损伤。</w:t>
      </w:r>
    </w:p>
    <w:p>
      <w:pPr>
        <w:widowControl/>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w:t>
      </w:r>
      <w:r>
        <w:rPr>
          <w:rFonts w:hint="eastAsia" w:ascii="楷体_GB2312" w:hAnsi="宋体" w:eastAsia="楷体_GB2312" w:cs="宋体"/>
          <w:b/>
          <w:kern w:val="0"/>
          <w:sz w:val="32"/>
          <w:szCs w:val="32"/>
          <w:lang w:eastAsia="zh-CN"/>
        </w:rPr>
        <w:t>五</w:t>
      </w:r>
      <w:bookmarkStart w:id="0" w:name="_GoBack"/>
      <w:bookmarkEnd w:id="0"/>
      <w:r>
        <w:rPr>
          <w:rFonts w:hint="eastAsia" w:ascii="楷体_GB2312" w:hAnsi="宋体" w:eastAsia="楷体_GB2312" w:cs="宋体"/>
          <w:b/>
          <w:kern w:val="0"/>
          <w:sz w:val="32"/>
          <w:szCs w:val="32"/>
        </w:rPr>
        <w:t>）酒精度</w:t>
      </w:r>
    </w:p>
    <w:p>
      <w:pPr>
        <w:spacing w:line="560" w:lineRule="exact"/>
        <w:ind w:firstLine="640" w:firstLineChars="200"/>
        <w:rPr>
          <w:rFonts w:hint="eastAsia" w:ascii="仿宋_GB2312" w:hAnsi="仿宋" w:eastAsia="仿宋_GB2312" w:cs="宋体"/>
          <w:color w:val="auto"/>
          <w:kern w:val="0"/>
          <w:sz w:val="32"/>
          <w:szCs w:val="32"/>
          <w:lang w:val="zh-CN"/>
        </w:rPr>
      </w:pPr>
      <w:r>
        <w:rPr>
          <w:rFonts w:hint="eastAsia" w:ascii="仿宋_GB2312" w:hAnsi="仿宋" w:eastAsia="仿宋_GB2312" w:cs="宋体"/>
          <w:color w:val="auto"/>
          <w:kern w:val="0"/>
          <w:sz w:val="32"/>
          <w:szCs w:val="32"/>
          <w:lang w:val="zh-CN"/>
        </w:rPr>
        <w:t>酒精度又叫酒度，是酒类的一个重要理化指标，是指在20℃时，100毫升酒中含有乙醇（酒精）的毫升数，即体积（容量）的百分数。《小曲固态法白酒》（GB/T 26761-2011）</w:t>
      </w:r>
      <w:r>
        <w:rPr>
          <w:rFonts w:hint="eastAsia" w:ascii="仿宋_GB2312" w:hAnsi="仿宋" w:eastAsia="仿宋_GB2312" w:cs="宋体"/>
          <w:color w:val="auto"/>
          <w:kern w:val="0"/>
          <w:sz w:val="32"/>
          <w:szCs w:val="32"/>
          <w:lang w:val="zh-CN"/>
        </w:rPr>
        <w:t>中规定，</w:t>
      </w:r>
      <w:r>
        <w:rPr>
          <w:rFonts w:hint="eastAsia" w:ascii="仿宋_GB2312" w:hAnsi="仿宋" w:cs="宋体"/>
          <w:color w:val="auto"/>
          <w:kern w:val="0"/>
          <w:sz w:val="32"/>
          <w:szCs w:val="32"/>
          <w:lang w:val="zh-CN"/>
        </w:rPr>
        <w:t>白酒</w:t>
      </w:r>
      <w:r>
        <w:rPr>
          <w:rFonts w:hint="eastAsia" w:ascii="仿宋_GB2312" w:hAnsi="仿宋" w:eastAsia="仿宋_GB2312" w:cs="宋体"/>
          <w:color w:val="auto"/>
          <w:kern w:val="0"/>
          <w:sz w:val="32"/>
          <w:szCs w:val="32"/>
          <w:lang w:val="zh-CN"/>
        </w:rPr>
        <w:t>实际酒精度应在标示值±1.0%vol的偏差范围内。酒中酒精度不达标会影响酒类的品质及口感，此外由于产品实际酒精度与明示指标不符也可能对消费者构成欺骗行为。</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二、建议</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707" w:firstLineChars="220"/>
        <w:textAlignment w:val="auto"/>
        <w:rPr>
          <w:rFonts w:ascii="楷体_GB2312" w:hAnsi="楷体" w:eastAsia="楷体_GB2312"/>
          <w:b/>
          <w:sz w:val="32"/>
          <w:szCs w:val="32"/>
        </w:rPr>
      </w:pPr>
      <w:r>
        <w:rPr>
          <w:rFonts w:hint="eastAsia" w:ascii="楷体_GB2312" w:hAnsi="楷体" w:eastAsia="楷体_GB2312"/>
          <w:b/>
          <w:sz w:val="32"/>
          <w:szCs w:val="32"/>
        </w:rPr>
        <w:t>（一）加强原辅料的把控</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1"/>
          <w:rFonts w:ascii="楷体_GB2312" w:hAnsi="楷体" w:eastAsia="楷体_GB2312"/>
          <w:color w:val="auto"/>
          <w:sz w:val="32"/>
          <w:szCs w:val="32"/>
          <w:highlight w:val="none"/>
        </w:rPr>
      </w:pPr>
      <w:r>
        <w:rPr>
          <w:rFonts w:hint="eastAsia" w:ascii="楷体_GB2312" w:hAnsi="楷体" w:eastAsia="楷体_GB2312"/>
          <w:b/>
          <w:color w:val="auto"/>
          <w:sz w:val="32"/>
          <w:szCs w:val="32"/>
        </w:rPr>
        <w:t>（二）</w:t>
      </w:r>
      <w:r>
        <w:rPr>
          <w:rStyle w:val="11"/>
          <w:rFonts w:hint="eastAsia" w:ascii="楷体_GB2312" w:hAnsi="楷体" w:eastAsia="楷体_GB2312"/>
          <w:color w:val="auto"/>
          <w:sz w:val="32"/>
          <w:szCs w:val="32"/>
          <w:highlight w:val="none"/>
        </w:rPr>
        <w:t>提高食品添加剂安全使用意识</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部分食品生产经营者为了追求经济效益，对食品添加剂过于依赖，但对食品添加剂使用要求却执行不到位。因此</w:t>
      </w:r>
      <w:r>
        <w:rPr>
          <w:rFonts w:hint="eastAsia" w:ascii="仿宋_GB2312" w:hAnsi="仿宋" w:eastAsia="仿宋_GB2312"/>
          <w:color w:val="auto"/>
          <w:sz w:val="32"/>
          <w:szCs w:val="32"/>
          <w:highlight w:val="none"/>
          <w:lang w:eastAsia="zh-CN"/>
        </w:rPr>
        <w:t>应</w:t>
      </w:r>
      <w:r>
        <w:rPr>
          <w:rFonts w:hint="eastAsia" w:ascii="仿宋_GB2312" w:hAnsi="仿宋" w:eastAsia="仿宋_GB2312"/>
          <w:color w:val="auto"/>
          <w:sz w:val="32"/>
          <w:szCs w:val="32"/>
          <w:highlight w:val="none"/>
        </w:rPr>
        <w:t>落实企业主体，加大对食品生产企业关于食品添加剂的相关法律法规和国家标准知识的宣传力度，进一步宣贯违法添加和滥用食品添加剂行为的危害性以及通过加大惩处等措施来提高食品生产企业食品添加剂安全使用意识。</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ascii="楷体_GB2312" w:hAnsi="楷体" w:eastAsia="楷体_GB2312"/>
          <w:b/>
          <w:color w:val="auto"/>
          <w:sz w:val="32"/>
          <w:szCs w:val="32"/>
        </w:rPr>
      </w:pPr>
      <w:r>
        <w:rPr>
          <w:rFonts w:hint="eastAsia" w:ascii="楷体_GB2312" w:hAnsi="楷体" w:eastAsia="楷体_GB2312"/>
          <w:b/>
          <w:color w:val="auto"/>
          <w:sz w:val="32"/>
          <w:szCs w:val="32"/>
        </w:rPr>
        <w:t>（</w:t>
      </w:r>
      <w:r>
        <w:rPr>
          <w:rFonts w:hint="eastAsia" w:ascii="楷体_GB2312" w:hAnsi="楷体" w:eastAsia="楷体_GB2312"/>
          <w:b/>
          <w:color w:val="auto"/>
          <w:sz w:val="32"/>
          <w:szCs w:val="32"/>
          <w:lang w:eastAsia="zh-CN"/>
        </w:rPr>
        <w:t>三</w:t>
      </w:r>
      <w:r>
        <w:rPr>
          <w:rFonts w:hint="eastAsia" w:ascii="楷体_GB2312" w:hAnsi="楷体" w:eastAsia="楷体_GB2312"/>
          <w:b/>
          <w:color w:val="auto"/>
          <w:sz w:val="32"/>
          <w:szCs w:val="32"/>
        </w:rPr>
        <w:t>）加强食品出厂检验</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rPr>
      </w:pPr>
      <w:r>
        <w:rPr>
          <w:rFonts w:hint="eastAsia" w:eastAsia="仿宋_GB2312"/>
          <w:color w:val="auto"/>
          <w:sz w:val="32"/>
          <w:szCs w:val="32"/>
        </w:rPr>
        <w:t>食品生产企业要强化重视出厂检验的意识，制定切合自身且不断完善的出厂检验制度；建立完善的检测条件针对自身产品进行日常监管，制定出厂检验计划并严格执行，确保生产合格的产品；加强对生产的成品的检测频率，进行自检或送往具有相关资质的检测机构进行检测；建立健全产品召回机制，应对突发产品质量问题。</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cs="仿宋_GB2312"/>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panose1 w:val="02000000000000000000"/>
    <w:charset w:val="86"/>
    <w:family w:val="script"/>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0D4506"/>
    <w:rsid w:val="006B1DCC"/>
    <w:rsid w:val="00724BD2"/>
    <w:rsid w:val="008D6C99"/>
    <w:rsid w:val="00B977A2"/>
    <w:rsid w:val="010D4506"/>
    <w:rsid w:val="017D0269"/>
    <w:rsid w:val="03E020C5"/>
    <w:rsid w:val="03FD00B3"/>
    <w:rsid w:val="055921C9"/>
    <w:rsid w:val="07C82C95"/>
    <w:rsid w:val="091C5D20"/>
    <w:rsid w:val="0A101FAB"/>
    <w:rsid w:val="0AEA5DCE"/>
    <w:rsid w:val="0C455D22"/>
    <w:rsid w:val="0C6F4539"/>
    <w:rsid w:val="0CD4225F"/>
    <w:rsid w:val="0EA93008"/>
    <w:rsid w:val="0EC839C2"/>
    <w:rsid w:val="10AD16A7"/>
    <w:rsid w:val="1162065F"/>
    <w:rsid w:val="11B32DA0"/>
    <w:rsid w:val="12AF7645"/>
    <w:rsid w:val="141B2394"/>
    <w:rsid w:val="155219D3"/>
    <w:rsid w:val="16396F4B"/>
    <w:rsid w:val="16A52765"/>
    <w:rsid w:val="176818BF"/>
    <w:rsid w:val="17FA5E44"/>
    <w:rsid w:val="181E6360"/>
    <w:rsid w:val="199008F8"/>
    <w:rsid w:val="19EB104A"/>
    <w:rsid w:val="1B042E72"/>
    <w:rsid w:val="1C2B3ECE"/>
    <w:rsid w:val="1F456A61"/>
    <w:rsid w:val="200B2815"/>
    <w:rsid w:val="231A399D"/>
    <w:rsid w:val="249A66FD"/>
    <w:rsid w:val="25D84592"/>
    <w:rsid w:val="274815F0"/>
    <w:rsid w:val="27D171E0"/>
    <w:rsid w:val="29292876"/>
    <w:rsid w:val="29DF09A6"/>
    <w:rsid w:val="2D2D024C"/>
    <w:rsid w:val="2DA27B95"/>
    <w:rsid w:val="2E172668"/>
    <w:rsid w:val="2FFC71C6"/>
    <w:rsid w:val="323F00BC"/>
    <w:rsid w:val="324700B2"/>
    <w:rsid w:val="348E513C"/>
    <w:rsid w:val="36A26439"/>
    <w:rsid w:val="38622AFA"/>
    <w:rsid w:val="387272BF"/>
    <w:rsid w:val="38865B2F"/>
    <w:rsid w:val="3B1904CB"/>
    <w:rsid w:val="3BAB1A67"/>
    <w:rsid w:val="3BFE4DC9"/>
    <w:rsid w:val="3CDD7A17"/>
    <w:rsid w:val="3E051E67"/>
    <w:rsid w:val="3E1079E4"/>
    <w:rsid w:val="3E88008E"/>
    <w:rsid w:val="3E984FE9"/>
    <w:rsid w:val="3EC80CDE"/>
    <w:rsid w:val="3F685D87"/>
    <w:rsid w:val="44141429"/>
    <w:rsid w:val="464A4562"/>
    <w:rsid w:val="4848609B"/>
    <w:rsid w:val="4864409A"/>
    <w:rsid w:val="48E60C18"/>
    <w:rsid w:val="49346CC6"/>
    <w:rsid w:val="4B37566A"/>
    <w:rsid w:val="4EBC0748"/>
    <w:rsid w:val="4FED4605"/>
    <w:rsid w:val="52A0415B"/>
    <w:rsid w:val="52FE47AC"/>
    <w:rsid w:val="533A17A5"/>
    <w:rsid w:val="53465E28"/>
    <w:rsid w:val="53FD7C6B"/>
    <w:rsid w:val="551B6EF1"/>
    <w:rsid w:val="59E33FF0"/>
    <w:rsid w:val="59EA54F5"/>
    <w:rsid w:val="5E214E94"/>
    <w:rsid w:val="5E7004E1"/>
    <w:rsid w:val="6048573D"/>
    <w:rsid w:val="62547A4D"/>
    <w:rsid w:val="63E10B0C"/>
    <w:rsid w:val="65E578BD"/>
    <w:rsid w:val="6792245C"/>
    <w:rsid w:val="6801069F"/>
    <w:rsid w:val="69130912"/>
    <w:rsid w:val="69CB77D8"/>
    <w:rsid w:val="6A323B2C"/>
    <w:rsid w:val="6C2646D1"/>
    <w:rsid w:val="6D731B27"/>
    <w:rsid w:val="6ECD36FF"/>
    <w:rsid w:val="6F1957D5"/>
    <w:rsid w:val="72A04A1F"/>
    <w:rsid w:val="72F24D9D"/>
    <w:rsid w:val="738026E3"/>
    <w:rsid w:val="75CA36CA"/>
    <w:rsid w:val="763955BF"/>
    <w:rsid w:val="77FC16E5"/>
    <w:rsid w:val="78FE0A2F"/>
    <w:rsid w:val="7A7C11A9"/>
    <w:rsid w:val="7B5E04A9"/>
    <w:rsid w:val="7C073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spacing w:before="340" w:after="330" w:line="576" w:lineRule="auto"/>
      <w:outlineLvl w:val="0"/>
    </w:pPr>
    <w:rPr>
      <w:rFonts w:eastAsia="楷体_GB2312"/>
      <w:b/>
      <w:kern w:val="44"/>
    </w:rPr>
  </w:style>
  <w:style w:type="paragraph" w:styleId="5">
    <w:name w:val="heading 2"/>
    <w:basedOn w:val="1"/>
    <w:next w:val="1"/>
    <w:link w:val="16"/>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0"/>
      <w:ind w:left="420" w:leftChars="200" w:firstLine="420"/>
    </w:pPr>
  </w:style>
  <w:style w:type="paragraph" w:styleId="3">
    <w:name w:val="Body Text Indent"/>
    <w:basedOn w:val="1"/>
    <w:qFormat/>
    <w:uiPriority w:val="0"/>
    <w:pPr>
      <w:spacing w:before="120" w:after="120"/>
      <w:ind w:firstLine="480"/>
    </w:pPr>
    <w:rPr>
      <w:rFonts w:ascii="宋体" w:hAnsi="宋体"/>
      <w:sz w:val="24"/>
      <w:szCs w:val="20"/>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qFormat/>
    <w:uiPriority w:val="0"/>
    <w:rPr>
      <w:color w:val="0000FF"/>
      <w:u w:val="single"/>
    </w:rPr>
  </w:style>
  <w:style w:type="paragraph" w:customStyle="1" w:styleId="13">
    <w:name w:val="本文正文"/>
    <w:basedOn w:val="1"/>
    <w:qFormat/>
    <w:uiPriority w:val="0"/>
    <w:pPr>
      <w:spacing w:line="360" w:lineRule="auto"/>
      <w:ind w:firstLine="803"/>
    </w:pPr>
    <w:rPr>
      <w:rFonts w:ascii="宋体" w:hAnsi="宋体"/>
      <w:sz w:val="24"/>
    </w:rPr>
  </w:style>
  <w:style w:type="character" w:customStyle="1" w:styleId="14">
    <w:name w:val="页眉 字符"/>
    <w:basedOn w:val="10"/>
    <w:link w:val="7"/>
    <w:qFormat/>
    <w:uiPriority w:val="0"/>
    <w:rPr>
      <w:rFonts w:ascii="Calibri" w:hAnsi="Calibri" w:eastAsia="仿宋_GB2312"/>
      <w:kern w:val="2"/>
      <w:sz w:val="18"/>
      <w:szCs w:val="18"/>
    </w:rPr>
  </w:style>
  <w:style w:type="character" w:customStyle="1" w:styleId="15">
    <w:name w:val="页脚 字符"/>
    <w:basedOn w:val="10"/>
    <w:link w:val="6"/>
    <w:qFormat/>
    <w:uiPriority w:val="0"/>
    <w:rPr>
      <w:rFonts w:ascii="Calibri" w:hAnsi="Calibri" w:eastAsia="仿宋_GB2312"/>
      <w:kern w:val="2"/>
      <w:sz w:val="18"/>
      <w:szCs w:val="18"/>
    </w:rPr>
  </w:style>
  <w:style w:type="character" w:customStyle="1" w:styleId="16">
    <w:name w:val="标题 2 字符"/>
    <w:basedOn w:val="10"/>
    <w:link w:val="5"/>
    <w:semiHidden/>
    <w:qFormat/>
    <w:uiPriority w:val="0"/>
    <w:rPr>
      <w:rFonts w:asciiTheme="majorHAnsi" w:hAnsiTheme="majorHAnsi" w:eastAsiaTheme="majorEastAsia" w:cstheme="majorBidi"/>
      <w:b/>
      <w:bCs/>
      <w:kern w:val="2"/>
      <w:sz w:val="32"/>
      <w:szCs w:val="32"/>
    </w:rPr>
  </w:style>
  <w:style w:type="paragraph" w:customStyle="1" w:styleId="17">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8</Pages>
  <Words>600</Words>
  <Characters>3426</Characters>
  <Lines>28</Lines>
  <Paragraphs>8</Paragraphs>
  <TotalTime>6</TotalTime>
  <ScaleCrop>false</ScaleCrop>
  <LinksUpToDate>false</LinksUpToDate>
  <CharactersWithSpaces>4018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2020-12-18T06:54:00Z</dcterms:created>
  <dc:creator>zhenyongwen</dc:creator>
  <cp:lastModifiedBy>韦慧勤</cp:lastModifiedBy>
  <dcterms:modified xsi:type="dcterms:W3CDTF">2021-04-06T08:32:56Z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2BCBADEB164F420AB7CA92621D404113</vt:lpwstr>
  </property>
</Properties>
</file>