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</w:rPr>
      </w:pPr>
    </w:p>
    <w:tbl>
      <w:tblPr>
        <w:tblStyle w:val="3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21"/>
        <w:gridCol w:w="2534"/>
        <w:gridCol w:w="20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50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</w:rPr>
              <w:t>2021年龙华区司法局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第一次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</w:rPr>
              <w:t>双随机检查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eastAsia="zh-CN"/>
              </w:rPr>
              <w:t>计划</w:t>
            </w:r>
          </w:p>
          <w:bookmarkEnd w:id="0"/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8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检查计划名称</w:t>
            </w:r>
          </w:p>
        </w:tc>
        <w:tc>
          <w:tcPr>
            <w:tcW w:w="722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2021年龙华区司法局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第一次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双随机检查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任务名称</w:t>
            </w:r>
          </w:p>
        </w:tc>
        <w:tc>
          <w:tcPr>
            <w:tcW w:w="722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第一次双随机检查任务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任务编号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44030020210120127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任务发起日期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2021-01-20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检查类型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本部门检查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检查方式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发起部门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龙华区司法局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计划执行日期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2021-04-01 至 2021-06-30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D568E"/>
    <w:rsid w:val="1EA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2021-04-09T07:22:00Z</dcterms:created>
  <dc:creator>十八</dc:creator>
  <cp:lastModifiedBy>十八</cp:lastModifiedBy>
  <dcterms:modified xsi:type="dcterms:W3CDTF">2021-04-09T07:37:06Z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