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2021年深圳市第一批跨国公司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总部企业名单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（排名不分先后）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沃尔玛（中国）投资有限公司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华润万家有限公司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凯为医疗投资集团（深圳）有限公司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深圳茂业商厦有限公司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深圳麦克韦尔科技有限公司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深圳中集天达空港设备有限公司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深圳市轴心自控技术有限公司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中燃投资有限公司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深圳市明源云科技有限公司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深圳春晓花开科技有限公司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英富曼会展（深圳）有限公司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深圳市文业建筑工程集团有限责任公司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富途网络科技（深圳）有限公司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宜卡科技（深圳）有限公司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开思时代科技（深圳）有限公司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深圳市乾龙运营管理有限公司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开泰远景信息科技有限公司</w:t>
      </w:r>
    </w:p>
    <w:p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赛尔康技术（深圳）有限公司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FFC6E1"/>
    <w:multiLevelType w:val="singleLevel"/>
    <w:tmpl w:val="D6FFC6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86AE2"/>
    <w:rsid w:val="0F8A2C85"/>
    <w:rsid w:val="36386AE2"/>
    <w:rsid w:val="7CA11481"/>
    <w:rsid w:val="7D6B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2021-06-18T02:14:00Z</dcterms:created>
  <dc:creator>张思佳</dc:creator>
  <cp:lastModifiedBy>王姝颖</cp:lastModifiedBy>
  <dcterms:modified xsi:type="dcterms:W3CDTF">2021-06-18T08:49:25Z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