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hint="eastAsia" w:ascii="仿宋_GB2312" w:hAnsi="黑体" w:eastAsia="仿宋_GB2312"/>
          <w:color w:val="000000"/>
          <w:sz w:val="32"/>
          <w:szCs w:val="32"/>
          <w:lang w:val="en-US" w:eastAsia="zh-CN"/>
        </w:rPr>
      </w:pPr>
      <w:r>
        <w:rPr>
          <w:rFonts w:hint="eastAsia" w:ascii="方正小标宋简体" w:eastAsia="方正小标宋简体"/>
          <w:sz w:val="44"/>
          <w:szCs w:val="44"/>
          <w:lang w:eastAsia="zh-CN"/>
        </w:rPr>
        <w:t>科技金融</w:t>
      </w:r>
      <w:r>
        <w:rPr>
          <w:rFonts w:hint="eastAsia" w:ascii="方正小标宋简体" w:eastAsia="方正小标宋简体"/>
          <w:sz w:val="44"/>
          <w:szCs w:val="44"/>
        </w:rPr>
        <w:t>评级备案</w:t>
      </w:r>
      <w:r>
        <w:rPr>
          <w:rFonts w:hint="eastAsia" w:ascii="方正小标宋简体" w:eastAsia="方正小标宋简体"/>
          <w:sz w:val="44"/>
          <w:szCs w:val="44"/>
          <w:lang w:eastAsia="zh-CN"/>
        </w:rPr>
        <w:t>申报指引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jc w:val="both"/>
        <w:textAlignment w:val="auto"/>
        <w:outlineLvl w:val="9"/>
        <w:rPr>
          <w:rFonts w:hint="eastAsia" w:ascii="仿宋_GB2312" w:hAnsi="黑体" w:eastAsia="仿宋_GB2312"/>
          <w:color w:val="000000"/>
          <w:sz w:val="32"/>
          <w:szCs w:val="32"/>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政策依据</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《深圳市龙华区科技创新专项资金实施细则（修订）》</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《科技金融资助操作规程》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二、申报流程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lang w:eastAsia="zh-CN"/>
        </w:rPr>
        <w:drawing>
          <wp:anchor distT="0" distB="0" distL="114300" distR="114300" simplePos="0" relativeHeight="251659264" behindDoc="0" locked="0" layoutInCell="1" allowOverlap="1">
            <wp:simplePos x="0" y="0"/>
            <wp:positionH relativeFrom="column">
              <wp:posOffset>594360</wp:posOffset>
            </wp:positionH>
            <wp:positionV relativeFrom="paragraph">
              <wp:posOffset>819150</wp:posOffset>
            </wp:positionV>
            <wp:extent cx="4288155" cy="4591050"/>
            <wp:effectExtent l="0" t="0" r="9525" b="1143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4288155" cy="4591050"/>
                    </a:xfrm>
                    <a:prstGeom prst="rect">
                      <a:avLst/>
                    </a:prstGeom>
                    <a:noFill/>
                    <a:ln>
                      <a:noFill/>
                    </a:ln>
                  </pic:spPr>
                </pic:pic>
              </a:graphicData>
            </a:graphic>
          </wp:anchor>
        </w:drawing>
      </w:r>
      <w:r>
        <w:rPr>
          <w:rFonts w:hint="eastAsia" w:ascii="仿宋_GB2312" w:hAnsi="仿宋_GB2312" w:eastAsia="仿宋_GB2312" w:cs="仿宋_GB2312"/>
          <w:b w:val="0"/>
          <w:bCs/>
          <w:sz w:val="32"/>
          <w:szCs w:val="32"/>
          <w:lang w:eastAsia="zh-CN"/>
        </w:rPr>
        <w:t>企业提交评级申请—</w:t>
      </w:r>
      <w:r>
        <w:rPr>
          <w:rFonts w:hint="eastAsia" w:ascii="FangSong_GB2312" w:hAnsi="FangSong_GB2312" w:eastAsia="FangSong_GB2312"/>
          <w:sz w:val="32"/>
        </w:rPr>
        <w:t>受理及合规性审查</w:t>
      </w:r>
      <w:r>
        <w:rPr>
          <w:rFonts w:hint="eastAsia" w:ascii="仿宋_GB2312" w:hAnsi="仿宋_GB2312" w:eastAsia="仿宋_GB2312" w:cs="仿宋_GB2312"/>
          <w:b w:val="0"/>
          <w:bCs/>
          <w:sz w:val="32"/>
          <w:szCs w:val="32"/>
          <w:lang w:eastAsia="zh-CN"/>
        </w:rPr>
        <w:t>—选择</w:t>
      </w:r>
      <w:r>
        <w:rPr>
          <w:rFonts w:hint="eastAsia" w:ascii="FangSong_GB2312" w:hAnsi="FangSong_GB2312" w:eastAsia="FangSong_GB2312"/>
          <w:sz w:val="32"/>
        </w:rPr>
        <w:t>合作投融资服务机构</w:t>
      </w:r>
      <w:r>
        <w:rPr>
          <w:rFonts w:hint="eastAsia" w:ascii="仿宋_GB2312" w:hAnsi="仿宋_GB2312" w:eastAsia="仿宋_GB2312" w:cs="仿宋_GB2312"/>
          <w:b w:val="0"/>
          <w:bCs/>
          <w:sz w:val="32"/>
          <w:szCs w:val="32"/>
          <w:lang w:eastAsia="zh-CN"/>
        </w:rPr>
        <w:t>—机构提交项目备案表—复审—出具项目备案确认函。</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sz w:val="32"/>
          <w:szCs w:val="32"/>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outlineLvl w:val="9"/>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（一）申请</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申请单位登录</w:t>
      </w:r>
      <w:r>
        <w:rPr>
          <w:rFonts w:hint="eastAsia" w:ascii="FangSong_GB2312" w:hAnsi="FangSong_GB2312" w:eastAsia="FangSong_GB2312"/>
          <w:sz w:val="32"/>
        </w:rPr>
        <w:t>龙华区科技创新专项资金申报系统</w:t>
      </w:r>
      <w:r>
        <w:rPr>
          <w:rFonts w:hint="eastAsia" w:ascii="FangSong_GB2312" w:hAnsi="FangSong_GB2312" w:eastAsia="FangSong_GB2312"/>
          <w:sz w:val="32"/>
          <w:lang w:eastAsia="zh-CN"/>
        </w:rPr>
        <w:t>（网址：</w:t>
      </w:r>
      <w:r>
        <w:rPr>
          <w:rFonts w:hint="eastAsia" w:ascii="仿宋_GB2312" w:hAnsi="黑体" w:eastAsia="仿宋_GB2312"/>
          <w:color w:val="000000"/>
          <w:sz w:val="32"/>
          <w:szCs w:val="32"/>
          <w:lang w:val="en-US" w:eastAsia="zh-CN"/>
        </w:rPr>
        <w:fldChar w:fldCharType="begin"/>
      </w:r>
      <w:r>
        <w:rPr>
          <w:rFonts w:hint="eastAsia" w:ascii="仿宋_GB2312" w:hAnsi="黑体" w:eastAsia="仿宋_GB2312"/>
          <w:color w:val="000000"/>
          <w:sz w:val="32"/>
          <w:szCs w:val="32"/>
          <w:lang w:val="en-US" w:eastAsia="zh-CN"/>
        </w:rPr>
        <w:instrText xml:space="preserve"> HYPERLINK "http://apply.szlhq.gov.cn:9999/），选择\“科技金融评级申请\”项目并登录进行申报，在线填报企业商事主体登记及备案信息，完成科技金融评级申报并通过审核。申报时需对应科技金融资助项目的受理标准及操作规程，符合申报条件方可提交申请材料。" </w:instrText>
      </w:r>
      <w:r>
        <w:rPr>
          <w:rFonts w:hint="eastAsia" w:ascii="仿宋_GB2312" w:hAnsi="黑体" w:eastAsia="仿宋_GB2312"/>
          <w:color w:val="000000"/>
          <w:sz w:val="32"/>
          <w:szCs w:val="32"/>
          <w:lang w:val="en-US" w:eastAsia="zh-CN"/>
        </w:rPr>
        <w:fldChar w:fldCharType="separate"/>
      </w:r>
      <w:r>
        <w:rPr>
          <w:rStyle w:val="10"/>
          <w:rFonts w:hint="eastAsia" w:ascii="仿宋_GB2312" w:hAnsi="黑体" w:eastAsia="仿宋_GB2312"/>
          <w:color w:val="000000"/>
          <w:sz w:val="32"/>
          <w:szCs w:val="32"/>
          <w:lang w:val="en-US" w:eastAsia="zh-CN"/>
        </w:rPr>
        <w:t>http://apply.szlhq.gov.cn:9999/</w:t>
      </w:r>
      <w:r>
        <w:rPr>
          <w:rFonts w:hint="eastAsia" w:ascii="FangSong_GB2312" w:hAnsi="FangSong_GB2312" w:eastAsia="FangSong_GB2312"/>
          <w:sz w:val="32"/>
          <w:lang w:val="en-US" w:eastAsia="zh-CN"/>
        </w:rPr>
        <w:t>），选择“科技金融评级申请”项目并登录进入申报，</w:t>
      </w:r>
      <w:r>
        <w:rPr>
          <w:rFonts w:hint="eastAsia" w:ascii="FangSong_GB2312" w:hAnsi="FangSong_GB2312" w:eastAsia="FangSong_GB2312"/>
          <w:sz w:val="32"/>
        </w:rPr>
        <w:t>在线填报企业商事主体登记及备案信息，完成科技金融评级申报并通过审核</w:t>
      </w:r>
      <w:r>
        <w:rPr>
          <w:rFonts w:hint="eastAsia" w:ascii="FangSong_GB2312" w:hAnsi="FangSong_GB2312" w:eastAsia="FangSong_GB2312"/>
          <w:sz w:val="32"/>
          <w:lang w:val="en-US" w:eastAsia="zh-CN"/>
        </w:rPr>
        <w:t>。申</w:t>
      </w:r>
      <w:bookmarkStart w:id="0" w:name="_GoBack"/>
      <w:bookmarkEnd w:id="0"/>
      <w:r>
        <w:rPr>
          <w:rFonts w:hint="eastAsia" w:ascii="FangSong_GB2312" w:hAnsi="FangSong_GB2312" w:eastAsia="FangSong_GB2312"/>
          <w:sz w:val="32"/>
          <w:lang w:val="en-US" w:eastAsia="zh-CN"/>
        </w:rPr>
        <w:t>报时需对应科技金融资助项目的受理标准及操作规程，符合申报条件方可提交申请材料。</w:t>
      </w:r>
      <w:r>
        <w:rPr>
          <w:rFonts w:hint="eastAsia" w:ascii="仿宋_GB2312" w:hAnsi="黑体" w:eastAsia="仿宋_GB2312"/>
          <w:color w:val="000000"/>
          <w:sz w:val="32"/>
          <w:szCs w:val="32"/>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560" w:lineRule="exact"/>
        <w:ind w:left="0" w:firstLine="420" w:firstLineChars="200"/>
        <w:jc w:val="both"/>
        <w:textAlignment w:val="auto"/>
        <w:rPr>
          <w:rFonts w:hint="eastAsia" w:ascii="仿宋_GB2312" w:hAnsi="黑体" w:eastAsia="仿宋_GB2312"/>
          <w:color w:val="000000"/>
          <w:sz w:val="32"/>
          <w:szCs w:val="32"/>
          <w:lang w:val="en-US" w:eastAsia="zh-CN"/>
        </w:rPr>
      </w:pPr>
      <w:r>
        <w:drawing>
          <wp:anchor distT="0" distB="0" distL="114300" distR="114300" simplePos="0" relativeHeight="251660288" behindDoc="0" locked="0" layoutInCell="1" allowOverlap="1">
            <wp:simplePos x="0" y="0"/>
            <wp:positionH relativeFrom="column">
              <wp:posOffset>7620</wp:posOffset>
            </wp:positionH>
            <wp:positionV relativeFrom="page">
              <wp:posOffset>3836035</wp:posOffset>
            </wp:positionV>
            <wp:extent cx="5520690" cy="2669540"/>
            <wp:effectExtent l="0" t="0" r="11430" b="1270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520690" cy="266954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numPr>
          <w:ilvl w:val="0"/>
          <w:numId w:val="3"/>
        </w:numPr>
        <w:kinsoku/>
        <w:wordWrap/>
        <w:overflowPunct w:val="0"/>
        <w:topLinePunct w:val="0"/>
        <w:autoSpaceDE/>
        <w:autoSpaceDN/>
        <w:bidi w:val="0"/>
        <w:adjustRightInd w:val="0"/>
        <w:snapToGrid w:val="0"/>
        <w:spacing w:line="560" w:lineRule="exact"/>
        <w:ind w:left="0" w:leftChars="0"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注意事项：</w:t>
      </w:r>
    </w:p>
    <w:p>
      <w:pPr>
        <w:keepNext w:val="0"/>
        <w:keepLines w:val="0"/>
        <w:pageBreakBefore w:val="0"/>
        <w:widowControl w:val="0"/>
        <w:kinsoku/>
        <w:wordWrap/>
        <w:overflowPunct w:val="0"/>
        <w:topLinePunct w:val="0"/>
        <w:autoSpaceDE/>
        <w:autoSpaceDN/>
        <w:bidi w:val="0"/>
        <w:adjustRightInd w:val="0"/>
        <w:snapToGrid w:val="0"/>
        <w:spacing w:line="560" w:lineRule="exact"/>
        <w:ind w:left="0" w:leftChars="0"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1）开始填报之前，必须完善企业基本信息，填报时如果企业信息发生变更，用户应及时更新。</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2）将评级申请所有空格都填上对应的数据，并按要求上传证明文件，如无对应项则填“无”或“0”。</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3）科技金融评级申请分为包括以下七个大模块环节：分别为上传附件、基本信息、财务状况、管理能力、企业创新能力、行业地位、意向银行（待预审通过后才会显示该模块）。</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4）企业自制材料需加高企业公章。</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5）一个附件类型对应一个文件，可能包含多钟材料的，请将同一附件类型中的各种材料文件合成一个文件。</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0"/>
        <w:jc w:val="both"/>
        <w:textAlignment w:val="auto"/>
        <w:outlineLvl w:val="9"/>
        <w:rPr>
          <w:rFonts w:hint="default"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6）申报主体必须确保各项数据真实、准确（我局将会协同有关部门对数据进行核对），存在弄虚作假、串通舞弊等违法违规行为的，一旦查实，将严格按照有关法律法规进行处罚，构成犯罪的，依法移交司法机关处理。</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2. 硬性指标：</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1）评级结果必须达到“A”级或以上（评级级别分为B、A、AA、AAA）。</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2）科技成长贷政策要求单位资质“国高”、“市高”、“双软”、“龙华区中小微创新100强企业”必满足其一。</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3）获批贷款前或获批贷款后3个月内需完成申报并通过审批。</w:t>
      </w:r>
    </w:p>
    <w:p>
      <w:pPr>
        <w:keepNext w:val="0"/>
        <w:keepLines w:val="0"/>
        <w:pageBreakBefore w:val="0"/>
        <w:widowControl w:val="0"/>
        <w:kinsoku/>
        <w:wordWrap/>
        <w:overflowPunct/>
        <w:topLinePunct w:val="0"/>
        <w:autoSpaceDE/>
        <w:autoSpaceDN/>
        <w:bidi w:val="0"/>
        <w:adjustRightInd/>
        <w:snapToGrid/>
        <w:spacing w:line="560" w:lineRule="exact"/>
        <w:ind w:left="0" w:firstLine="420" w:firstLineChars="200"/>
        <w:jc w:val="both"/>
        <w:textAlignment w:val="auto"/>
        <w:rPr>
          <w:rFonts w:hint="eastAsia" w:ascii="仿宋_GB2312" w:hAnsi="黑体" w:eastAsia="仿宋_GB2312"/>
          <w:color w:val="000000"/>
          <w:sz w:val="32"/>
          <w:szCs w:val="32"/>
          <w:lang w:val="en-US" w:eastAsia="zh-CN"/>
        </w:rPr>
      </w:pPr>
      <w:r>
        <w:drawing>
          <wp:anchor distT="0" distB="0" distL="114300" distR="114300" simplePos="0" relativeHeight="251661312" behindDoc="0" locked="0" layoutInCell="1" allowOverlap="1">
            <wp:simplePos x="0" y="0"/>
            <wp:positionH relativeFrom="column">
              <wp:posOffset>68580</wp:posOffset>
            </wp:positionH>
            <wp:positionV relativeFrom="paragraph">
              <wp:posOffset>55880</wp:posOffset>
            </wp:positionV>
            <wp:extent cx="5612130" cy="2695575"/>
            <wp:effectExtent l="0" t="0" r="11430" b="190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612130" cy="269557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val="0"/>
        <w:topLinePunct w:val="0"/>
        <w:autoSpaceDE/>
        <w:autoSpaceDN/>
        <w:bidi w:val="0"/>
        <w:adjustRightInd w:val="0"/>
        <w:snapToGrid w:val="0"/>
        <w:spacing w:line="560" w:lineRule="exact"/>
        <w:ind w:left="0" w:leftChars="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val="0"/>
        <w:topLinePunct w:val="0"/>
        <w:autoSpaceDE/>
        <w:autoSpaceDN/>
        <w:bidi w:val="0"/>
        <w:adjustRightInd w:val="0"/>
        <w:snapToGrid w:val="0"/>
        <w:spacing w:line="560" w:lineRule="exact"/>
        <w:ind w:left="0" w:leftChars="0"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3.上传附件：</w:t>
      </w:r>
    </w:p>
    <w:p>
      <w:pPr>
        <w:keepNext w:val="0"/>
        <w:keepLines w:val="0"/>
        <w:pageBreakBefore w:val="0"/>
        <w:widowControl w:val="0"/>
        <w:kinsoku/>
        <w:wordWrap/>
        <w:overflowPunct w:val="0"/>
        <w:topLinePunct w:val="0"/>
        <w:autoSpaceDE/>
        <w:autoSpaceDN/>
        <w:bidi w:val="0"/>
        <w:adjustRightInd w:val="0"/>
        <w:snapToGrid w:val="0"/>
        <w:spacing w:line="560" w:lineRule="exact"/>
        <w:ind w:left="0" w:leftChars="0"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1）附件1：营业执照需有“深圳市市场监督管理局印章版）；</w:t>
      </w:r>
    </w:p>
    <w:p>
      <w:pPr>
        <w:keepNext w:val="0"/>
        <w:keepLines w:val="0"/>
        <w:pageBreakBefore w:val="0"/>
        <w:widowControl w:val="0"/>
        <w:kinsoku/>
        <w:wordWrap/>
        <w:overflowPunct w:val="0"/>
        <w:topLinePunct w:val="0"/>
        <w:autoSpaceDE/>
        <w:autoSpaceDN/>
        <w:bidi w:val="0"/>
        <w:adjustRightInd w:val="0"/>
        <w:snapToGrid w:val="0"/>
        <w:spacing w:line="560" w:lineRule="exact"/>
        <w:ind w:left="0" w:leftChars="0"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2）附件3：提供法定代表人证明书、身份证和企业贷款用途承诺书（贷款用途承诺，说明贷款资金用于哪里。申请单位在贷款银行所得资金须用于研发投入、设备购置、市场开拓、房租支出等正常生产经营活动支出，不得用于证券类投资、购房购车、罚款等非正常开支），加盖企业公章。</w:t>
      </w:r>
    </w:p>
    <w:p>
      <w:pPr>
        <w:keepNext w:val="0"/>
        <w:keepLines w:val="0"/>
        <w:pageBreakBefore w:val="0"/>
        <w:widowControl w:val="0"/>
        <w:kinsoku/>
        <w:wordWrap/>
        <w:overflowPunct w:val="0"/>
        <w:topLinePunct w:val="0"/>
        <w:autoSpaceDE/>
        <w:autoSpaceDN/>
        <w:bidi w:val="0"/>
        <w:adjustRightInd w:val="0"/>
        <w:snapToGrid w:val="0"/>
        <w:spacing w:line="560" w:lineRule="exact"/>
        <w:ind w:left="0" w:leftChars="0"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3）附件4：上传企业上年、前年、大前年共3年审计报告合并上传。</w:t>
      </w:r>
    </w:p>
    <w:p>
      <w:pPr>
        <w:keepNext w:val="0"/>
        <w:keepLines w:val="0"/>
        <w:pageBreakBefore w:val="0"/>
        <w:widowControl w:val="0"/>
        <w:kinsoku/>
        <w:wordWrap/>
        <w:overflowPunct w:val="0"/>
        <w:topLinePunct w:val="0"/>
        <w:autoSpaceDE/>
        <w:autoSpaceDN/>
        <w:bidi w:val="0"/>
        <w:adjustRightInd w:val="0"/>
        <w:snapToGrid w:val="0"/>
        <w:spacing w:line="560" w:lineRule="exact"/>
        <w:ind w:left="0" w:leftChars="0"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4）附件5：将上年度完税证明、增值税纳税申报表（上年12月总表）、所得税纳税申报表（上年第四季度总表或年度申报表）合并上传。</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420" w:firstLineChars="200"/>
        <w:jc w:val="both"/>
        <w:textAlignment w:val="auto"/>
        <w:rPr>
          <w:rFonts w:hint="eastAsia" w:ascii="仿宋_GB2312" w:hAnsi="黑体" w:eastAsia="仿宋_GB2312"/>
          <w:color w:val="000000"/>
          <w:sz w:val="32"/>
          <w:szCs w:val="32"/>
          <w:lang w:val="en-US" w:eastAsia="zh-CN"/>
        </w:rPr>
      </w:pPr>
      <w:r>
        <w:drawing>
          <wp:anchor distT="0" distB="0" distL="114300" distR="114300" simplePos="0" relativeHeight="251662336" behindDoc="0" locked="0" layoutInCell="1" allowOverlap="1">
            <wp:simplePos x="0" y="0"/>
            <wp:positionH relativeFrom="column">
              <wp:posOffset>152400</wp:posOffset>
            </wp:positionH>
            <wp:positionV relativeFrom="paragraph">
              <wp:posOffset>30480</wp:posOffset>
            </wp:positionV>
            <wp:extent cx="5604510" cy="2322830"/>
            <wp:effectExtent l="0" t="0" r="3810" b="889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5604510" cy="232283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420" w:firstLineChars="200"/>
        <w:jc w:val="both"/>
        <w:textAlignment w:val="auto"/>
        <w:rPr>
          <w:rFonts w:hint="eastAsia" w:ascii="仿宋_GB2312" w:hAnsi="黑体" w:eastAsia="仿宋_GB2312"/>
          <w:color w:val="000000"/>
          <w:sz w:val="32"/>
          <w:szCs w:val="32"/>
          <w:lang w:val="en-US" w:eastAsia="zh-CN"/>
        </w:rPr>
      </w:pPr>
      <w:r>
        <w:drawing>
          <wp:anchor distT="0" distB="0" distL="114300" distR="114300" simplePos="0" relativeHeight="251663360" behindDoc="0" locked="0" layoutInCell="1" allowOverlap="1">
            <wp:simplePos x="0" y="0"/>
            <wp:positionH relativeFrom="column">
              <wp:posOffset>-30480</wp:posOffset>
            </wp:positionH>
            <wp:positionV relativeFrom="paragraph">
              <wp:posOffset>30480</wp:posOffset>
            </wp:positionV>
            <wp:extent cx="5611495" cy="2418715"/>
            <wp:effectExtent l="0" t="0" r="12065" b="4445"/>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611495" cy="241871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4.财务信息按审计报告如实填写。</w:t>
      </w:r>
    </w:p>
    <w:p>
      <w:pPr>
        <w:keepNext w:val="0"/>
        <w:keepLines w:val="0"/>
        <w:pageBreakBefore w:val="0"/>
        <w:widowControl w:val="0"/>
        <w:kinsoku/>
        <w:wordWrap/>
        <w:overflowPunct w:val="0"/>
        <w:topLinePunct w:val="0"/>
        <w:autoSpaceDE/>
        <w:autoSpaceDN/>
        <w:bidi w:val="0"/>
        <w:adjustRightInd w:val="0"/>
        <w:snapToGrid w:val="0"/>
        <w:spacing w:line="560" w:lineRule="exact"/>
        <w:ind w:left="0" w:leftChars="0" w:firstLine="420" w:firstLineChars="200"/>
        <w:jc w:val="both"/>
        <w:textAlignment w:val="auto"/>
        <w:rPr>
          <w:rFonts w:hint="eastAsia" w:ascii="仿宋_GB2312" w:hAnsi="黑体" w:eastAsia="仿宋_GB2312"/>
          <w:color w:val="000000"/>
          <w:sz w:val="32"/>
          <w:szCs w:val="32"/>
          <w:lang w:val="en-US" w:eastAsia="zh-CN"/>
        </w:rPr>
      </w:pPr>
      <w:r>
        <w:drawing>
          <wp:anchor distT="0" distB="0" distL="114300" distR="114300" simplePos="0" relativeHeight="251664384" behindDoc="0" locked="0" layoutInCell="1" allowOverlap="1">
            <wp:simplePos x="0" y="0"/>
            <wp:positionH relativeFrom="column">
              <wp:posOffset>-99060</wp:posOffset>
            </wp:positionH>
            <wp:positionV relativeFrom="paragraph">
              <wp:posOffset>60960</wp:posOffset>
            </wp:positionV>
            <wp:extent cx="5610225" cy="2371725"/>
            <wp:effectExtent l="0" t="0" r="13335" b="5715"/>
            <wp:wrapNone/>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2"/>
                    <a:stretch>
                      <a:fillRect/>
                    </a:stretch>
                  </pic:blipFill>
                  <pic:spPr>
                    <a:xfrm>
                      <a:off x="0" y="0"/>
                      <a:ext cx="5610225" cy="2371725"/>
                    </a:xfrm>
                    <a:prstGeom prst="rect">
                      <a:avLst/>
                    </a:prstGeom>
                    <a:noFill/>
                    <a:ln>
                      <a:noFill/>
                    </a:ln>
                  </pic:spPr>
                </pic:pic>
              </a:graphicData>
            </a:graphic>
          </wp:anchor>
        </w:drawing>
      </w:r>
    </w:p>
    <w:p>
      <w:pPr>
        <w:keepNext w:val="0"/>
        <w:keepLines w:val="0"/>
        <w:pageBreakBefore w:val="0"/>
        <w:widowControl w:val="0"/>
        <w:kinsoku/>
        <w:wordWrap/>
        <w:overflowPunct w:val="0"/>
        <w:topLinePunct w:val="0"/>
        <w:autoSpaceDE/>
        <w:autoSpaceDN/>
        <w:bidi w:val="0"/>
        <w:adjustRightInd w:val="0"/>
        <w:snapToGrid w:val="0"/>
        <w:spacing w:line="560" w:lineRule="exact"/>
        <w:ind w:left="0" w:leftChars="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val="0"/>
        <w:topLinePunct w:val="0"/>
        <w:autoSpaceDE/>
        <w:autoSpaceDN/>
        <w:bidi w:val="0"/>
        <w:adjustRightInd w:val="0"/>
        <w:snapToGrid w:val="0"/>
        <w:spacing w:line="560" w:lineRule="exact"/>
        <w:ind w:left="0" w:leftChars="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val="0"/>
        <w:topLinePunct w:val="0"/>
        <w:autoSpaceDE/>
        <w:autoSpaceDN/>
        <w:bidi w:val="0"/>
        <w:adjustRightInd w:val="0"/>
        <w:snapToGrid w:val="0"/>
        <w:spacing w:line="560" w:lineRule="exact"/>
        <w:ind w:left="0" w:leftChars="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val="0"/>
        <w:topLinePunct w:val="0"/>
        <w:autoSpaceDE/>
        <w:autoSpaceDN/>
        <w:bidi w:val="0"/>
        <w:adjustRightInd w:val="0"/>
        <w:snapToGrid w:val="0"/>
        <w:spacing w:line="560" w:lineRule="exact"/>
        <w:ind w:left="0" w:leftChars="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val="0"/>
        <w:topLinePunct w:val="0"/>
        <w:autoSpaceDE/>
        <w:autoSpaceDN/>
        <w:bidi w:val="0"/>
        <w:adjustRightInd w:val="0"/>
        <w:snapToGrid w:val="0"/>
        <w:spacing w:line="560" w:lineRule="exact"/>
        <w:ind w:left="0" w:leftChars="0" w:firstLine="640" w:firstLineChars="200"/>
        <w:jc w:val="both"/>
        <w:textAlignment w:val="auto"/>
        <w:rPr>
          <w:rFonts w:hint="default"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5. 管理能力：</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1）领导者素质：如实填写企业董事长、总经理及研发负责人的姓名、工作年限、学历（学历证书）、高级人才职称（职称证书或人才证书）等信息。</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default"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2）本科以上人员占比：提供</w:t>
      </w:r>
      <w:r>
        <w:rPr>
          <w:rFonts w:hint="eastAsia" w:ascii="仿宋_GB2312" w:hAnsi="仿宋_GB2312" w:eastAsia="仿宋_GB2312" w:cs="仿宋_GB2312"/>
          <w:sz w:val="32"/>
          <w:szCs w:val="32"/>
          <w:lang w:val="en-US" w:eastAsia="zh-CN"/>
        </w:rPr>
        <w:t>带有社保局印章的企业所有员工社保总清单和盖章版员工花名册（企业所有员工的姓名、出生年月、部门、学历、毕业院校及各部门人数统计）并按附件如实填写。研发人员占比：上传盖章版研发人员花名册。</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黑体" w:eastAsia="仿宋_GB2312"/>
          <w:color w:val="000000"/>
          <w:sz w:val="32"/>
          <w:szCs w:val="32"/>
          <w:lang w:val="en-US" w:eastAsia="zh-CN"/>
        </w:rPr>
        <w:t>3）是否实施骨干人员持股计划：</w:t>
      </w:r>
      <w:r>
        <w:rPr>
          <w:rFonts w:hint="eastAsia" w:ascii="仿宋_GB2312" w:hAnsi="仿宋_GB2312" w:eastAsia="仿宋_GB2312" w:cs="仿宋_GB2312"/>
          <w:sz w:val="32"/>
          <w:szCs w:val="32"/>
          <w:lang w:val="en-US" w:eastAsia="zh-CN"/>
        </w:rPr>
        <w:t>如有，上传骨干人员社保缴纳证明及所签署的持股协议,如无对应项，选“否”。</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4）IT系统：可提供能证明企业IT系统覆盖管理领域的合同及截图（请盖公章版），例金蝶系统覆盖财务管理领域。</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2"/>
          <w:szCs w:val="32"/>
          <w:lang w:val="en-US" w:eastAsia="zh-CN"/>
        </w:rPr>
      </w:pPr>
      <w:r>
        <w:drawing>
          <wp:anchor distT="0" distB="0" distL="114300" distR="114300" simplePos="0" relativeHeight="251665408" behindDoc="0" locked="0" layoutInCell="1" allowOverlap="1">
            <wp:simplePos x="0" y="0"/>
            <wp:positionH relativeFrom="column">
              <wp:posOffset>129540</wp:posOffset>
            </wp:positionH>
            <wp:positionV relativeFrom="paragraph">
              <wp:posOffset>96520</wp:posOffset>
            </wp:positionV>
            <wp:extent cx="5612130" cy="2413000"/>
            <wp:effectExtent l="0" t="0" r="11430" b="10160"/>
            <wp:wrapNone/>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3"/>
                    <a:stretch>
                      <a:fillRect/>
                    </a:stretch>
                  </pic:blipFill>
                  <pic:spPr>
                    <a:xfrm>
                      <a:off x="0" y="0"/>
                      <a:ext cx="5612130" cy="241300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6.企业创新能力：</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1）研发团队拥有的高级职称人员及博士比例：证明材料上传高级职称证书或博士证书。</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default"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2）上期在税务部门备案可加计扣除的研发费用：附件提供企业上年度研发费用专项审计报告（如企业未做专项审计，可用加盖企业公章的所得税纳税申报表—研发费用加计扣除表替代），并按附件中经审定的“允许扣除的研发费用合计”项数据填写。</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黑体" w:eastAsia="仿宋_GB2312"/>
          <w:color w:val="000000"/>
          <w:sz w:val="32"/>
          <w:szCs w:val="32"/>
          <w:lang w:val="en-US" w:eastAsia="zh-CN"/>
        </w:rPr>
        <w:t>3）近三年技术开发仪器设备的原值金额：</w:t>
      </w:r>
      <w:r>
        <w:rPr>
          <w:rFonts w:hint="eastAsia" w:ascii="仿宋_GB2312" w:hAnsi="仿宋_GB2312" w:eastAsia="仿宋_GB2312" w:cs="仿宋_GB2312"/>
          <w:sz w:val="32"/>
          <w:szCs w:val="32"/>
          <w:lang w:val="en-US" w:eastAsia="zh-CN"/>
        </w:rPr>
        <w:t>提供盖章版近三年购入研发设备资产清单（含原值金额及数据统计）。</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4）是否有外聘高水平专家：如有，选择对应项并提供与专家签订的合作协议与专家获得的博士证等相关证明材料。</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发明专利、实用新型、外观专利、软著、商标：上传已授权、有效的证书扫描件。证书专利权人（注册人）需与申报主体名称一致，如变更需将变更文件一并上传。如单项证书数量超过10个，需一并提供盖章版专利（商标）明细清单。</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区中小微创新100强企业、国高、市高、双软、区企业工程中心资质：提供有效的证书扫描件，如已公示未取得证书的，可将公示页面、公示名单第一页、公示名单企业所在页面截图并标识，加盖企业公章后扫描上传。</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7）符合深圳市杰出人才认定标准的人才作为带头人创办的企业：提供该人才符合深圳市杰出人才认定标准（例诺贝尔奖获得者、院士等）证明文件，且需提供占股超30%相关证明。</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8）近5年经国家、省、市认定的高层次人才团队创办的企业：提供企业3个及以上国家、省、市高层次人才认定证书扫描件。</w:t>
      </w:r>
    </w:p>
    <w:p>
      <w:pPr>
        <w:keepNext w:val="0"/>
        <w:keepLines w:val="0"/>
        <w:pageBreakBefore w:val="0"/>
        <w:widowControl w:val="0"/>
        <w:kinsoku/>
        <w:wordWrap/>
        <w:overflowPunct/>
        <w:topLinePunct w:val="0"/>
        <w:autoSpaceDE/>
        <w:autoSpaceDN/>
        <w:bidi w:val="0"/>
        <w:adjustRightInd/>
        <w:snapToGrid/>
        <w:spacing w:line="560" w:lineRule="exact"/>
        <w:ind w:left="0" w:firstLine="420" w:firstLineChars="200"/>
        <w:jc w:val="both"/>
        <w:textAlignment w:val="auto"/>
        <w:rPr>
          <w:rFonts w:hint="eastAsia" w:ascii="仿宋_GB2312" w:hAnsi="仿宋_GB2312" w:eastAsia="仿宋_GB2312" w:cs="仿宋_GB2312"/>
          <w:sz w:val="32"/>
          <w:szCs w:val="32"/>
          <w:lang w:val="en-US" w:eastAsia="zh-CN"/>
        </w:rPr>
      </w:pPr>
      <w:r>
        <w:drawing>
          <wp:anchor distT="0" distB="0" distL="114300" distR="114300" simplePos="0" relativeHeight="251666432" behindDoc="0" locked="0" layoutInCell="1" allowOverlap="1">
            <wp:simplePos x="0" y="0"/>
            <wp:positionH relativeFrom="column">
              <wp:posOffset>83820</wp:posOffset>
            </wp:positionH>
            <wp:positionV relativeFrom="paragraph">
              <wp:posOffset>17780</wp:posOffset>
            </wp:positionV>
            <wp:extent cx="5615940" cy="2406650"/>
            <wp:effectExtent l="0" t="0" r="7620" b="1270"/>
            <wp:wrapNone/>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4"/>
                    <a:stretch>
                      <a:fillRect/>
                    </a:stretch>
                  </pic:blipFill>
                  <pic:spPr>
                    <a:xfrm>
                      <a:off x="0" y="0"/>
                      <a:ext cx="5615940" cy="240665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7.行业地位</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1）上年度具有知识产权经营情况：需与财务信息保持一致。</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2）拥有体系认证情况：选择对应项后，并提供有效期内的体系认证证书扫描件（ISO9000认证、ISO14001认证、知识产权贯标认证），如有其他认证证书则在“其他体系认证”项上传。</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default"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3）获得资助情况：</w:t>
      </w:r>
      <w:r>
        <w:rPr>
          <w:rFonts w:hint="eastAsia" w:ascii="仿宋_GB2312" w:hAnsi="仿宋_GB2312" w:eastAsia="仿宋_GB2312" w:cs="仿宋_GB2312"/>
          <w:sz w:val="32"/>
          <w:szCs w:val="32"/>
          <w:lang w:val="en-US" w:eastAsia="zh-CN"/>
        </w:rPr>
        <w:t>填写并</w:t>
      </w:r>
      <w:r>
        <w:rPr>
          <w:rFonts w:hint="eastAsia" w:ascii="仿宋_GB2312" w:hAnsi="黑体" w:eastAsia="仿宋_GB2312"/>
          <w:color w:val="000000"/>
          <w:sz w:val="32"/>
          <w:szCs w:val="32"/>
          <w:lang w:val="en-US" w:eastAsia="zh-CN"/>
        </w:rPr>
        <w:t>上传</w:t>
      </w:r>
      <w:r>
        <w:rPr>
          <w:rFonts w:hint="eastAsia" w:ascii="仿宋_GB2312" w:hAnsi="仿宋_GB2312" w:eastAsia="仿宋_GB2312" w:cs="仿宋_GB2312"/>
          <w:sz w:val="32"/>
          <w:szCs w:val="32"/>
          <w:lang w:val="en-US" w:eastAsia="zh-CN"/>
        </w:rPr>
        <w:t>获得龙华区科技创新资金资助的银行回单等信息及材料。</w:t>
      </w:r>
    </w:p>
    <w:p>
      <w:pPr>
        <w:keepNext w:val="0"/>
        <w:keepLines w:val="0"/>
        <w:pageBreakBefore w:val="0"/>
        <w:widowControl w:val="0"/>
        <w:kinsoku/>
        <w:wordWrap/>
        <w:overflowPunct/>
        <w:topLinePunct w:val="0"/>
        <w:autoSpaceDE/>
        <w:autoSpaceDN/>
        <w:bidi w:val="0"/>
        <w:adjustRightInd/>
        <w:snapToGrid/>
        <w:spacing w:line="560" w:lineRule="exact"/>
        <w:ind w:left="0" w:firstLine="420" w:firstLineChars="200"/>
        <w:jc w:val="both"/>
        <w:textAlignment w:val="auto"/>
        <w:rPr>
          <w:rFonts w:hint="eastAsia" w:ascii="仿宋_GB2312" w:hAnsi="黑体" w:eastAsia="仿宋_GB2312"/>
          <w:color w:val="000000"/>
          <w:sz w:val="32"/>
          <w:szCs w:val="32"/>
          <w:lang w:val="en-US" w:eastAsia="zh-CN"/>
        </w:rPr>
      </w:pPr>
      <w:r>
        <w:drawing>
          <wp:anchor distT="0" distB="0" distL="114300" distR="114300" simplePos="0" relativeHeight="251667456" behindDoc="0" locked="0" layoutInCell="1" allowOverlap="1">
            <wp:simplePos x="0" y="0"/>
            <wp:positionH relativeFrom="column">
              <wp:posOffset>-121920</wp:posOffset>
            </wp:positionH>
            <wp:positionV relativeFrom="paragraph">
              <wp:posOffset>67945</wp:posOffset>
            </wp:positionV>
            <wp:extent cx="5760085" cy="3179445"/>
            <wp:effectExtent l="0" t="0" r="635" b="5715"/>
            <wp:wrapNone/>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5"/>
                    <a:stretch>
                      <a:fillRect/>
                    </a:stretch>
                  </pic:blipFill>
                  <pic:spPr>
                    <a:xfrm>
                      <a:off x="0" y="0"/>
                      <a:ext cx="5760085" cy="317944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420" w:firstLineChars="200"/>
        <w:jc w:val="both"/>
        <w:textAlignment w:val="auto"/>
        <w:rPr>
          <w:rFonts w:hint="eastAsia" w:ascii="仿宋_GB2312" w:hAnsi="黑体" w:eastAsia="仿宋_GB2312"/>
          <w:color w:val="000000"/>
          <w:sz w:val="32"/>
          <w:szCs w:val="32"/>
          <w:lang w:val="en-US" w:eastAsia="zh-CN"/>
        </w:rPr>
      </w:pPr>
      <w:r>
        <w:drawing>
          <wp:anchor distT="0" distB="0" distL="114300" distR="114300" simplePos="0" relativeHeight="251668480" behindDoc="0" locked="0" layoutInCell="1" allowOverlap="1">
            <wp:simplePos x="0" y="0"/>
            <wp:positionH relativeFrom="column">
              <wp:posOffset>-121920</wp:posOffset>
            </wp:positionH>
            <wp:positionV relativeFrom="paragraph">
              <wp:posOffset>147320</wp:posOffset>
            </wp:positionV>
            <wp:extent cx="5739130" cy="2146300"/>
            <wp:effectExtent l="0" t="0" r="6350" b="2540"/>
            <wp:wrapNone/>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6"/>
                    <a:stretch>
                      <a:fillRect/>
                    </a:stretch>
                  </pic:blipFill>
                  <pic:spPr>
                    <a:xfrm>
                      <a:off x="0" y="0"/>
                      <a:ext cx="5739130" cy="214630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default"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8.所有内容确认无误后，保存、提交，待区科技主管部门初审。</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 xml:space="preserve">（二）审核 </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预审通过后，企业在“意向银行”页选择</w:t>
      </w:r>
      <w:r>
        <w:rPr>
          <w:rFonts w:hint="eastAsia" w:ascii="仿宋_GB2312" w:hAnsi="黑体" w:eastAsia="仿宋_GB2312"/>
          <w:color w:val="000000"/>
          <w:sz w:val="32"/>
          <w:szCs w:val="32"/>
          <w:u w:val="single"/>
          <w:lang w:val="en-US" w:eastAsia="zh-CN"/>
        </w:rPr>
        <w:t>已确定合作意向</w:t>
      </w:r>
      <w:r>
        <w:rPr>
          <w:rFonts w:hint="eastAsia" w:ascii="仿宋_GB2312" w:hAnsi="黑体" w:eastAsia="仿宋_GB2312"/>
          <w:color w:val="000000"/>
          <w:sz w:val="32"/>
          <w:szCs w:val="32"/>
          <w:lang w:val="en-US" w:eastAsia="zh-CN"/>
        </w:rPr>
        <w:t>的银行及担保机构（如该笔贷款无担保，则在“选择担保机构”项选“无”），由担保机构及银行在系统上上传对该笔贷款的盖章版“备案报备表”扫描件后提交，待区科技主管部门复审。</w:t>
      </w:r>
    </w:p>
    <w:p>
      <w:pPr>
        <w:keepNext w:val="0"/>
        <w:keepLines w:val="0"/>
        <w:pageBreakBefore w:val="0"/>
        <w:widowControl w:val="0"/>
        <w:kinsoku/>
        <w:wordWrap/>
        <w:overflowPunct/>
        <w:topLinePunct w:val="0"/>
        <w:autoSpaceDE/>
        <w:autoSpaceDN/>
        <w:bidi w:val="0"/>
        <w:adjustRightInd/>
        <w:snapToGrid/>
        <w:spacing w:line="560" w:lineRule="exact"/>
        <w:ind w:left="0" w:firstLine="420" w:firstLineChars="200"/>
        <w:jc w:val="both"/>
        <w:textAlignment w:val="auto"/>
        <w:rPr>
          <w:rFonts w:hint="eastAsia" w:ascii="仿宋_GB2312" w:hAnsi="黑体" w:eastAsia="仿宋_GB2312"/>
          <w:color w:val="000000"/>
          <w:sz w:val="32"/>
          <w:szCs w:val="32"/>
          <w:lang w:val="en-US" w:eastAsia="zh-CN"/>
        </w:rPr>
      </w:pPr>
      <w:r>
        <w:drawing>
          <wp:anchor distT="0" distB="0" distL="114300" distR="114300" simplePos="0" relativeHeight="251669504" behindDoc="0" locked="0" layoutInCell="1" allowOverlap="1">
            <wp:simplePos x="0" y="0"/>
            <wp:positionH relativeFrom="column">
              <wp:posOffset>-15240</wp:posOffset>
            </wp:positionH>
            <wp:positionV relativeFrom="paragraph">
              <wp:posOffset>177800</wp:posOffset>
            </wp:positionV>
            <wp:extent cx="5614670" cy="2531110"/>
            <wp:effectExtent l="0" t="0" r="8890" b="13970"/>
            <wp:wrapNone/>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17"/>
                    <a:stretch>
                      <a:fillRect/>
                    </a:stretch>
                  </pic:blipFill>
                  <pic:spPr>
                    <a:xfrm>
                      <a:off x="0" y="0"/>
                      <a:ext cx="5614670" cy="253111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420" w:firstLineChars="200"/>
        <w:jc w:val="both"/>
        <w:textAlignment w:val="auto"/>
        <w:rPr>
          <w:rFonts w:hint="eastAsia" w:ascii="仿宋_GB2312" w:hAnsi="黑体" w:eastAsia="仿宋_GB2312"/>
          <w:color w:val="000000"/>
          <w:sz w:val="32"/>
          <w:szCs w:val="32"/>
          <w:lang w:val="en-US" w:eastAsia="zh-CN"/>
        </w:rPr>
      </w:pPr>
      <w:r>
        <w:drawing>
          <wp:anchor distT="0" distB="0" distL="114300" distR="114300" simplePos="0" relativeHeight="251671552" behindDoc="0" locked="0" layoutInCell="1" allowOverlap="1">
            <wp:simplePos x="0" y="0"/>
            <wp:positionH relativeFrom="column">
              <wp:posOffset>3511550</wp:posOffset>
            </wp:positionH>
            <wp:positionV relativeFrom="page">
              <wp:posOffset>6779895</wp:posOffset>
            </wp:positionV>
            <wp:extent cx="1912620" cy="2540635"/>
            <wp:effectExtent l="0" t="0" r="7620" b="4445"/>
            <wp:wrapNone/>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18"/>
                    <a:stretch>
                      <a:fillRect/>
                    </a:stretch>
                  </pic:blipFill>
                  <pic:spPr>
                    <a:xfrm>
                      <a:off x="0" y="0"/>
                      <a:ext cx="1912620" cy="254063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left="0" w:firstLine="420" w:firstLineChars="200"/>
        <w:jc w:val="both"/>
        <w:textAlignment w:val="auto"/>
        <w:rPr>
          <w:rFonts w:hint="eastAsia" w:ascii="仿宋_GB2312" w:hAnsi="黑体" w:eastAsia="仿宋_GB2312"/>
          <w:color w:val="000000"/>
          <w:sz w:val="32"/>
          <w:szCs w:val="32"/>
          <w:lang w:val="en-US" w:eastAsia="zh-CN"/>
        </w:rPr>
      </w:pPr>
      <w:r>
        <w:drawing>
          <wp:anchor distT="0" distB="0" distL="114300" distR="114300" simplePos="0" relativeHeight="251670528" behindDoc="0" locked="0" layoutInCell="1" allowOverlap="1">
            <wp:simplePos x="0" y="0"/>
            <wp:positionH relativeFrom="column">
              <wp:posOffset>22860</wp:posOffset>
            </wp:positionH>
            <wp:positionV relativeFrom="paragraph">
              <wp:posOffset>28575</wp:posOffset>
            </wp:positionV>
            <wp:extent cx="3129280" cy="1589405"/>
            <wp:effectExtent l="0" t="0" r="10160" b="10795"/>
            <wp:wrapNone/>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19"/>
                    <a:stretch>
                      <a:fillRect/>
                    </a:stretch>
                  </pic:blipFill>
                  <pic:spPr>
                    <a:xfrm>
                      <a:off x="0" y="0"/>
                      <a:ext cx="3129280" cy="158940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val="0"/>
        <w:topLinePunct w:val="0"/>
        <w:autoSpaceDE/>
        <w:autoSpaceDN/>
        <w:bidi w:val="0"/>
        <w:adjustRightInd w:val="0"/>
        <w:snapToGrid w:val="0"/>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 xml:space="preserve">（三）复审 </w:t>
      </w:r>
    </w:p>
    <w:p>
      <w:pPr>
        <w:keepNext w:val="0"/>
        <w:keepLines w:val="0"/>
        <w:pageBreakBefore w:val="0"/>
        <w:widowControl w:val="0"/>
        <w:kinsoku/>
        <w:wordWrap/>
        <w:overflowPunct w:val="0"/>
        <w:topLinePunct w:val="0"/>
        <w:autoSpaceDE/>
        <w:autoSpaceDN/>
        <w:bidi w:val="0"/>
        <w:adjustRightInd w:val="0"/>
        <w:snapToGrid w:val="0"/>
        <w:spacing w:line="560" w:lineRule="exact"/>
        <w:ind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区科技主管部门复审通过后，按流程出具项目备案确认函（企业获批贷款日期与备案确认函日期不可超过3个月）。</w:t>
      </w:r>
    </w:p>
    <w:p>
      <w:pPr>
        <w:keepNext w:val="0"/>
        <w:keepLines w:val="0"/>
        <w:pageBreakBefore w:val="0"/>
        <w:widowControl w:val="0"/>
        <w:kinsoku/>
        <w:wordWrap/>
        <w:overflowPunct w:val="0"/>
        <w:topLinePunct w:val="0"/>
        <w:autoSpaceDE/>
        <w:autoSpaceDN/>
        <w:bidi w:val="0"/>
        <w:adjustRightInd w:val="0"/>
        <w:snapToGrid w:val="0"/>
        <w:spacing w:line="560" w:lineRule="exact"/>
        <w:ind w:firstLine="640" w:firstLineChars="200"/>
        <w:jc w:val="both"/>
        <w:textAlignment w:val="auto"/>
        <w:rPr>
          <w:rFonts w:hint="default"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企业纳入备案贷款在1年内正常还本付息后6个月内，</w:t>
      </w:r>
      <w:r>
        <w:rPr>
          <w:rFonts w:hint="eastAsia" w:ascii="FangSong_GB2312" w:hAnsi="FangSong_GB2312" w:eastAsia="FangSong_GB2312"/>
          <w:sz w:val="32"/>
        </w:rPr>
        <w:t>向区科技主管部门申报贴息贴保扶持，逾期不申报者视为自动放弃。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三、项目受理</w:t>
      </w:r>
    </w:p>
    <w:p>
      <w:pPr>
        <w:keepNext w:val="0"/>
        <w:keepLines w:val="0"/>
        <w:pageBreakBefore w:val="0"/>
        <w:widowControl w:val="0"/>
        <w:numPr>
          <w:ilvl w:val="0"/>
          <w:numId w:val="4"/>
        </w:numPr>
        <w:kinsoku/>
        <w:wordWrap/>
        <w:overflowPunct w:val="0"/>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黑体" w:eastAsia="仿宋_GB2312"/>
          <w:color w:val="000000"/>
          <w:sz w:val="32"/>
          <w:szCs w:val="32"/>
          <w:lang w:val="en-US" w:eastAsia="zh-CN"/>
        </w:rPr>
        <w:t>开放时间：全年受理。</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firstLine="640" w:firstLineChars="200"/>
        <w:jc w:val="both"/>
        <w:textAlignment w:val="auto"/>
        <w:rPr>
          <w:rFonts w:hint="eastAsia" w:ascii="FangSong_GB2312" w:hAnsi="FangSong_GB2312" w:eastAsia="FangSong_GB2312"/>
          <w:sz w:val="32"/>
        </w:rPr>
      </w:pPr>
      <w:r>
        <w:rPr>
          <w:rFonts w:hint="eastAsia" w:ascii="仿宋_GB2312" w:hAnsi="黑体" w:eastAsia="仿宋_GB2312"/>
          <w:color w:val="000000"/>
          <w:sz w:val="32"/>
          <w:szCs w:val="32"/>
          <w:lang w:val="en-US" w:eastAsia="zh-CN"/>
        </w:rPr>
        <w:t>受理方式：全程网上受理。</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受理范围：</w:t>
      </w:r>
      <w:r>
        <w:rPr>
          <w:rFonts w:hint="eastAsia" w:ascii="FangSong_GB2312" w:hAnsi="FangSong_GB2312" w:eastAsia="FangSong_GB2312"/>
          <w:sz w:val="32"/>
        </w:rPr>
        <w:t>在龙华区依法注册，并办理税务登记的具有独立法人资格的</w:t>
      </w:r>
      <w:r>
        <w:rPr>
          <w:rFonts w:hint="eastAsia" w:ascii="FangSong_GB2312" w:hAnsi="FangSong_GB2312" w:eastAsia="FangSong_GB2312"/>
          <w:sz w:val="32"/>
          <w:lang w:eastAsia="zh-CN"/>
        </w:rPr>
        <w:t>科技</w:t>
      </w:r>
      <w:r>
        <w:rPr>
          <w:rFonts w:hint="eastAsia" w:ascii="FangSong_GB2312" w:hAnsi="FangSong_GB2312" w:eastAsia="FangSong_GB2312"/>
          <w:sz w:val="32"/>
        </w:rPr>
        <w:t>企业</w:t>
      </w:r>
      <w:r>
        <w:rPr>
          <w:rFonts w:hint="eastAsia" w:ascii="FangSong_GB2312" w:hAnsi="FangSong_GB2312" w:eastAsia="FangSong_GB2312"/>
          <w:sz w:val="32"/>
          <w:lang w:eastAsia="zh-CN"/>
        </w:rPr>
        <w:t>。</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咨询电话：0755-21074587（黄小姐）。</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0" w:firstLineChars="0"/>
        <w:jc w:val="both"/>
        <w:textAlignment w:val="auto"/>
        <w:outlineLvl w:val="9"/>
        <w:rPr>
          <w:rFonts w:hint="eastAsia" w:ascii="仿宋_GB2312" w:hAnsi="黑体" w:eastAsia="仿宋_GB2312"/>
          <w:color w:val="000000"/>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ind w:left="0" w:leftChars="0" w:right="0" w:rightChars="0" w:firstLine="0" w:firstLineChars="0"/>
        <w:jc w:val="both"/>
        <w:textAlignment w:val="auto"/>
        <w:outlineLvl w:val="9"/>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val="0"/>
        <w:topLinePunct w:val="0"/>
        <w:autoSpaceDE/>
        <w:autoSpaceDN/>
        <w:bidi w:val="0"/>
        <w:adjustRightInd w:val="0"/>
        <w:snapToGrid w:val="0"/>
        <w:spacing w:line="560" w:lineRule="exact"/>
        <w:textAlignment w:val="auto"/>
        <w:rPr>
          <w:rFonts w:hint="eastAsia" w:ascii="FangSong_GB2312" w:hAnsi="FangSong_GB2312" w:eastAsia="FangSong_GB2312"/>
          <w:sz w:val="32"/>
          <w:lang w:eastAsia="zh-CN"/>
        </w:rPr>
      </w:pPr>
    </w:p>
    <w:p>
      <w:pPr>
        <w:keepNext w:val="0"/>
        <w:keepLines w:val="0"/>
        <w:pageBreakBefore w:val="0"/>
        <w:widowControl w:val="0"/>
        <w:kinsoku/>
        <w:wordWrap/>
        <w:overflowPunct w:val="0"/>
        <w:topLinePunct w:val="0"/>
        <w:autoSpaceDE/>
        <w:autoSpaceDN/>
        <w:bidi w:val="0"/>
        <w:adjustRightInd w:val="0"/>
        <w:snapToGrid w:val="0"/>
        <w:spacing w:line="560" w:lineRule="exact"/>
        <w:ind w:left="0" w:leftChars="0" w:firstLine="4198" w:firstLineChars="1312"/>
        <w:jc w:val="center"/>
        <w:textAlignment w:val="auto"/>
        <w:rPr>
          <w:rFonts w:hint="eastAsia" w:ascii="FangSong_GB2312" w:hAnsi="FangSong_GB2312" w:eastAsia="FangSong_GB2312"/>
          <w:sz w:val="32"/>
          <w:lang w:val="en-US" w:eastAsia="zh-CN"/>
        </w:rPr>
      </w:pPr>
      <w:r>
        <w:rPr>
          <w:rFonts w:hint="eastAsia" w:ascii="FangSong_GB2312" w:hAnsi="FangSong_GB2312" w:eastAsia="FangSong_GB2312"/>
          <w:sz w:val="32"/>
          <w:lang w:val="en-US" w:eastAsia="zh-CN"/>
        </w:rPr>
        <w:t>深圳市龙华区科技创新局</w:t>
      </w:r>
    </w:p>
    <w:p>
      <w:pPr>
        <w:keepNext w:val="0"/>
        <w:keepLines w:val="0"/>
        <w:pageBreakBefore w:val="0"/>
        <w:widowControl w:val="0"/>
        <w:kinsoku/>
        <w:wordWrap/>
        <w:overflowPunct w:val="0"/>
        <w:topLinePunct w:val="0"/>
        <w:autoSpaceDE/>
        <w:autoSpaceDN/>
        <w:bidi w:val="0"/>
        <w:adjustRightInd w:val="0"/>
        <w:snapToGrid w:val="0"/>
        <w:spacing w:line="560" w:lineRule="exact"/>
        <w:ind w:left="0" w:leftChars="0" w:firstLine="4198" w:firstLineChars="1312"/>
        <w:jc w:val="center"/>
        <w:textAlignment w:val="auto"/>
        <w:rPr>
          <w:rFonts w:hint="default" w:ascii="FangSong_GB2312" w:hAnsi="FangSong_GB2312" w:eastAsia="FangSong_GB2312"/>
          <w:sz w:val="32"/>
          <w:lang w:val="en-US" w:eastAsia="zh-CN"/>
        </w:rPr>
      </w:pPr>
      <w:r>
        <w:rPr>
          <w:rFonts w:hint="eastAsia" w:ascii="FangSong_GB2312" w:hAnsi="FangSong_GB2312" w:eastAsia="FangSong_GB2312"/>
          <w:sz w:val="32"/>
          <w:lang w:val="en-US" w:eastAsia="zh-CN"/>
        </w:rPr>
        <w:t>2021年9月18日</w:t>
      </w:r>
    </w:p>
    <w:p>
      <w:pPr>
        <w:keepNext w:val="0"/>
        <w:keepLines w:val="0"/>
        <w:pageBreakBefore w:val="0"/>
        <w:widowControl w:val="0"/>
        <w:kinsoku/>
        <w:wordWrap/>
        <w:overflowPunct w:val="0"/>
        <w:topLinePunct w:val="0"/>
        <w:autoSpaceDE/>
        <w:autoSpaceDN/>
        <w:bidi w:val="0"/>
        <w:adjustRightInd w:val="0"/>
        <w:snapToGrid w:val="0"/>
        <w:spacing w:line="560" w:lineRule="exact"/>
        <w:textAlignment w:val="auto"/>
      </w:pPr>
    </w:p>
    <w:p/>
    <w:sectPr>
      <w:headerReference r:id="rId3" w:type="first"/>
      <w:footerReference r:id="rId4" w:type="default"/>
      <w:footerReference r:id="rId5" w:type="even"/>
      <w:pgSz w:w="11906" w:h="16838"/>
      <w:pgMar w:top="2098" w:right="1474" w:bottom="1984" w:left="1587" w:header="851" w:footer="1474"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FangSong_GB2312">
    <w:altName w:val="仿宋_GB2312"/>
    <w:panose1 w:val="00000000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keepNext w:val="0"/>
      <w:keepLines w:val="0"/>
      <w:pageBreakBefore w:val="0"/>
      <w:widowControl w:val="0"/>
      <w:kinsoku/>
      <w:wordWrap/>
      <w:overflowPunct w:val="0"/>
      <w:topLinePunct w:val="0"/>
      <w:autoSpaceDE/>
      <w:autoSpaceDN/>
      <w:bidi w:val="0"/>
      <w:adjustRightInd w:val="0"/>
      <w:snapToGrid w:val="0"/>
      <w:spacing w:after="0" w:line="240" w:lineRule="auto"/>
      <w:ind w:left="271" w:leftChars="129" w:right="271" w:rightChars="129"/>
      <w:jc w:val="right"/>
      <w:textAlignment w:val="auto"/>
      <w:rPr>
        <w:rFonts w:hint="eastAsia" w:ascii="宋体" w:hAnsi="宋体" w:eastAsia="宋体" w:cs="宋体"/>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keepNext w:val="0"/>
                            <w:keepLines w:val="0"/>
                            <w:pageBreakBefore w:val="0"/>
                            <w:widowControl w:val="0"/>
                            <w:kinsoku/>
                            <w:wordWrap/>
                            <w:overflowPunct w:val="0"/>
                            <w:topLinePunct w:val="0"/>
                            <w:autoSpaceDE/>
                            <w:autoSpaceDN/>
                            <w:bidi w:val="0"/>
                            <w:adjustRightInd w:val="0"/>
                            <w:snapToGrid w:val="0"/>
                            <w:spacing w:after="0" w:line="240" w:lineRule="auto"/>
                            <w:ind w:left="271" w:leftChars="129" w:right="271" w:rightChars="129"/>
                            <w:jc w:val="right"/>
                            <w:textAlignment w:val="auto"/>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1</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pPr>
                      <w:pStyle w:val="5"/>
                      <w:keepNext w:val="0"/>
                      <w:keepLines w:val="0"/>
                      <w:pageBreakBefore w:val="0"/>
                      <w:widowControl w:val="0"/>
                      <w:kinsoku/>
                      <w:wordWrap/>
                      <w:overflowPunct w:val="0"/>
                      <w:topLinePunct w:val="0"/>
                      <w:autoSpaceDE/>
                      <w:autoSpaceDN/>
                      <w:bidi w:val="0"/>
                      <w:adjustRightInd w:val="0"/>
                      <w:snapToGrid w:val="0"/>
                      <w:spacing w:after="0" w:line="240" w:lineRule="auto"/>
                      <w:ind w:left="271" w:leftChars="129" w:right="271" w:rightChars="129"/>
                      <w:jc w:val="right"/>
                      <w:textAlignment w:val="auto"/>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1</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keepNext w:val="0"/>
      <w:keepLines w:val="0"/>
      <w:pageBreakBefore w:val="0"/>
      <w:widowControl w:val="0"/>
      <w:kinsoku/>
      <w:wordWrap/>
      <w:overflowPunct w:val="0"/>
      <w:topLinePunct w:val="0"/>
      <w:autoSpaceDE/>
      <w:autoSpaceDN/>
      <w:bidi w:val="0"/>
      <w:adjustRightInd w:val="0"/>
      <w:snapToGrid w:val="0"/>
      <w:ind w:left="271" w:leftChars="129" w:right="271" w:rightChars="129"/>
      <w:textAlignment w:val="auto"/>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1</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rPr>
        <w:rFonts w:hint="default" w:eastAsia="宋体"/>
        <w:lang w:val="en-US" w:eastAsia="zh-CN"/>
      </w:rPr>
    </w:pPr>
    <w:r>
      <w:rPr>
        <w:rFonts w:hint="eastAsia"/>
        <w:lang w:eastAsia="zh-CN"/>
      </w:rPr>
      <w:t>附件</w:t>
    </w:r>
    <w:r>
      <w:rPr>
        <w:rFonts w:hint="eastAsia"/>
        <w:lang w:val="en-US" w:eastAsia="zh-CN"/>
      </w:rPr>
      <w:t>1：</w:t>
    </w:r>
  </w:p>
  <w:p>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DA76B97"/>
    <w:multiLevelType w:val="singleLevel"/>
    <w:tmpl w:val="EDA76B97"/>
    <w:lvl w:ilvl="0" w:tentative="0">
      <w:start w:val="1"/>
      <w:numFmt w:val="decimal"/>
      <w:suff w:val="space"/>
      <w:lvlText w:val="%1."/>
      <w:lvlJc w:val="left"/>
    </w:lvl>
  </w:abstractNum>
  <w:abstractNum w:abstractNumId="1">
    <w:nsid w:val="F57EFA20"/>
    <w:multiLevelType w:val="singleLevel"/>
    <w:tmpl w:val="F57EFA20"/>
    <w:lvl w:ilvl="0" w:tentative="0">
      <w:start w:val="1"/>
      <w:numFmt w:val="decimal"/>
      <w:suff w:val="space"/>
      <w:lvlText w:val="%1."/>
      <w:lvlJc w:val="left"/>
    </w:lvl>
  </w:abstractNum>
  <w:abstractNum w:abstractNumId="2">
    <w:nsid w:val="2CF32140"/>
    <w:multiLevelType w:val="singleLevel"/>
    <w:tmpl w:val="2CF32140"/>
    <w:lvl w:ilvl="0" w:tentative="0">
      <w:start w:val="1"/>
      <w:numFmt w:val="decimal"/>
      <w:suff w:val="space"/>
      <w:lvlText w:val="%1."/>
      <w:lvlJc w:val="left"/>
    </w:lvl>
  </w:abstractNum>
  <w:abstractNum w:abstractNumId="3">
    <w:nsid w:val="7D9EDFD6"/>
    <w:multiLevelType w:val="singleLevel"/>
    <w:tmpl w:val="7D9EDFD6"/>
    <w:lvl w:ilvl="0" w:tentative="0">
      <w:start w:val="1"/>
      <w:numFmt w:val="chineseCounting"/>
      <w:suff w:val="nothing"/>
      <w:lvlText w:val="%1、"/>
      <w:lvlJc w:val="left"/>
      <w:rPr>
        <w:rFonts w:hint="eastAsia"/>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54E6571"/>
    <w:rsid w:val="0A4A3D24"/>
    <w:rsid w:val="0B3A4E0B"/>
    <w:rsid w:val="149E4184"/>
    <w:rsid w:val="20A42E4E"/>
    <w:rsid w:val="20B63EBE"/>
    <w:rsid w:val="25BB3CF0"/>
    <w:rsid w:val="25BD6A6D"/>
    <w:rsid w:val="2D993D44"/>
    <w:rsid w:val="31937A27"/>
    <w:rsid w:val="344D2EF1"/>
    <w:rsid w:val="3B6C53C0"/>
    <w:rsid w:val="429713DA"/>
    <w:rsid w:val="44B07A44"/>
    <w:rsid w:val="47DC22FE"/>
    <w:rsid w:val="48C1241C"/>
    <w:rsid w:val="48E70C94"/>
    <w:rsid w:val="51D34A48"/>
    <w:rsid w:val="535D1C51"/>
    <w:rsid w:val="5A0F4473"/>
    <w:rsid w:val="5A214F59"/>
    <w:rsid w:val="6140318E"/>
    <w:rsid w:val="61BF5371"/>
    <w:rsid w:val="64E80646"/>
    <w:rsid w:val="67D73D49"/>
    <w:rsid w:val="6E1341CC"/>
    <w:rsid w:val="6FE2277D"/>
    <w:rsid w:val="70BC3E56"/>
    <w:rsid w:val="754E0EFE"/>
    <w:rsid w:val="77CE0553"/>
    <w:rsid w:val="78291664"/>
    <w:rsid w:val="7AB3704F"/>
    <w:rsid w:val="7D196D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paragraph" w:styleId="4">
    <w:name w:val="heading 6"/>
    <w:basedOn w:val="1"/>
    <w:next w:val="1"/>
    <w:semiHidden/>
    <w:unhideWhenUsed/>
    <w:qFormat/>
    <w:uiPriority w:val="0"/>
    <w:pPr>
      <w:spacing w:before="0" w:beforeAutospacing="1" w:after="0" w:afterAutospacing="1"/>
      <w:jc w:val="left"/>
    </w:pPr>
    <w:rPr>
      <w:rFonts w:hint="eastAsia" w:ascii="宋体" w:hAnsi="宋体" w:eastAsia="宋体" w:cs="宋体"/>
      <w:b/>
      <w:kern w:val="0"/>
      <w:sz w:val="15"/>
      <w:szCs w:val="15"/>
      <w:lang w:val="en-US" w:eastAsia="zh-CN" w:bidi="ar"/>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0">
    <w:name w:val="Hyperlink"/>
    <w:basedOn w:val="9"/>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23</TotalTime>
  <ScaleCrop>false</ScaleCrop>
  <LinksUpToDate>false</LinksUpToDate>
  <CharactersWithSpaces>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cp:lastModifiedBy>
  <dcterms:modified xsi:type="dcterms:W3CDTF">2021-09-30T09:01:10Z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FC1B5D506EF04AD2B3BF5A1B896307F1</vt:lpwstr>
  </property>
</Properties>
</file>