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313" w:tblpY="435"/>
        <w:tblOverlap w:val="never"/>
        <w:tblW w:w="13769" w:type="dxa"/>
        <w:jc w:val="center"/>
        <w:tblLayout w:type="fixed"/>
        <w:tblCellMar>
          <w:top w:w="0" w:type="dxa"/>
          <w:left w:w="108" w:type="dxa"/>
          <w:bottom w:w="0" w:type="dxa"/>
          <w:right w:w="108" w:type="dxa"/>
        </w:tblCellMar>
      </w:tblPr>
      <w:tblGrid>
        <w:gridCol w:w="3615"/>
        <w:gridCol w:w="400"/>
        <w:gridCol w:w="352"/>
        <w:gridCol w:w="350"/>
        <w:gridCol w:w="236"/>
        <w:gridCol w:w="825"/>
        <w:gridCol w:w="586"/>
        <w:gridCol w:w="1310"/>
        <w:gridCol w:w="1997"/>
        <w:gridCol w:w="310"/>
        <w:gridCol w:w="276"/>
        <w:gridCol w:w="1948"/>
        <w:gridCol w:w="359"/>
        <w:gridCol w:w="965"/>
        <w:gridCol w:w="203"/>
        <w:gridCol w:w="37"/>
      </w:tblGrid>
      <w:tr>
        <w:tblPrEx>
          <w:tblCellMar>
            <w:top w:w="0" w:type="dxa"/>
            <w:left w:w="108" w:type="dxa"/>
            <w:bottom w:w="0" w:type="dxa"/>
            <w:right w:w="108" w:type="dxa"/>
          </w:tblCellMar>
        </w:tblPrEx>
        <w:trPr>
          <w:trHeight w:val="434" w:hRule="atLeast"/>
          <w:jc w:val="center"/>
        </w:trPr>
        <w:tc>
          <w:tcPr>
            <w:tcW w:w="3615" w:type="dxa"/>
            <w:tcBorders>
              <w:top w:val="nil"/>
              <w:left w:val="nil"/>
              <w:bottom w:val="nil"/>
              <w:right w:val="nil"/>
            </w:tcBorders>
            <w:shd w:val="clear" w:color="FFFFFF"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w:t>
            </w:r>
          </w:p>
        </w:tc>
        <w:tc>
          <w:tcPr>
            <w:tcW w:w="752" w:type="dxa"/>
            <w:gridSpan w:val="2"/>
            <w:tcBorders>
              <w:top w:val="nil"/>
              <w:left w:val="nil"/>
              <w:bottom w:val="nil"/>
              <w:right w:val="nil"/>
            </w:tcBorders>
            <w:shd w:val="clear" w:color="FFFFFF" w:fill="FFFFFF"/>
            <w:noWrap w:val="0"/>
            <w:vAlign w:val="top"/>
          </w:tcPr>
          <w:p>
            <w:pPr>
              <w:widowControl/>
              <w:jc w:val="left"/>
              <w:rPr>
                <w:rFonts w:ascii="宋体" w:hAnsi="宋体" w:cs="宋体"/>
                <w:color w:val="000000"/>
                <w:kern w:val="0"/>
                <w:sz w:val="24"/>
              </w:rPr>
            </w:pPr>
          </w:p>
        </w:tc>
        <w:tc>
          <w:tcPr>
            <w:tcW w:w="1411" w:type="dxa"/>
            <w:gridSpan w:val="3"/>
            <w:tcBorders>
              <w:top w:val="nil"/>
              <w:left w:val="nil"/>
              <w:bottom w:val="nil"/>
              <w:right w:val="nil"/>
            </w:tcBorders>
            <w:shd w:val="clear" w:color="FFFFFF"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96" w:type="dxa"/>
            <w:gridSpan w:val="2"/>
            <w:tcBorders>
              <w:top w:val="nil"/>
              <w:left w:val="nil"/>
              <w:bottom w:val="nil"/>
              <w:right w:val="nil"/>
            </w:tcBorders>
            <w:noWrap w:val="0"/>
            <w:vAlign w:val="top"/>
          </w:tcPr>
          <w:p>
            <w:pPr>
              <w:widowControl/>
              <w:jc w:val="left"/>
              <w:rPr>
                <w:rFonts w:ascii="宋体" w:hAnsi="宋体" w:cs="宋体"/>
                <w:color w:val="000000"/>
                <w:kern w:val="0"/>
                <w:sz w:val="20"/>
                <w:szCs w:val="20"/>
              </w:rPr>
            </w:pPr>
          </w:p>
        </w:tc>
        <w:tc>
          <w:tcPr>
            <w:tcW w:w="1997" w:type="dxa"/>
            <w:tcBorders>
              <w:top w:val="nil"/>
              <w:left w:val="nil"/>
              <w:bottom w:val="nil"/>
              <w:right w:val="nil"/>
            </w:tcBorders>
            <w:noWrap w:val="0"/>
            <w:vAlign w:val="bottom"/>
          </w:tcPr>
          <w:p>
            <w:pPr>
              <w:widowControl/>
              <w:jc w:val="left"/>
              <w:rPr>
                <w:rFonts w:ascii="宋体" w:hAnsi="宋体" w:cs="宋体"/>
                <w:color w:val="000000"/>
                <w:kern w:val="0"/>
                <w:sz w:val="20"/>
                <w:szCs w:val="20"/>
              </w:rPr>
            </w:pPr>
          </w:p>
        </w:tc>
        <w:tc>
          <w:tcPr>
            <w:tcW w:w="2893" w:type="dxa"/>
            <w:gridSpan w:val="4"/>
            <w:tcBorders>
              <w:top w:val="nil"/>
              <w:left w:val="nil"/>
              <w:bottom w:val="nil"/>
              <w:right w:val="nil"/>
            </w:tcBorders>
            <w:noWrap w:val="0"/>
            <w:vAlign w:val="bottom"/>
          </w:tcPr>
          <w:p>
            <w:pPr>
              <w:widowControl/>
              <w:jc w:val="left"/>
              <w:rPr>
                <w:rFonts w:ascii="宋体" w:hAnsi="宋体" w:cs="宋体"/>
                <w:color w:val="000000"/>
                <w:kern w:val="0"/>
                <w:sz w:val="20"/>
                <w:szCs w:val="20"/>
              </w:rPr>
            </w:pPr>
          </w:p>
        </w:tc>
        <w:tc>
          <w:tcPr>
            <w:tcW w:w="965" w:type="dxa"/>
            <w:tcBorders>
              <w:top w:val="nil"/>
              <w:left w:val="nil"/>
              <w:bottom w:val="nil"/>
              <w:right w:val="nil"/>
            </w:tcBorders>
            <w:noWrap w:val="0"/>
            <w:vAlign w:val="top"/>
          </w:tcPr>
          <w:p>
            <w:pPr>
              <w:widowControl/>
              <w:jc w:val="left"/>
              <w:rPr>
                <w:rFonts w:ascii="宋体" w:hAnsi="宋体" w:cs="宋体"/>
                <w:color w:val="000000"/>
                <w:kern w:val="0"/>
                <w:sz w:val="20"/>
                <w:szCs w:val="20"/>
              </w:rPr>
            </w:pPr>
          </w:p>
        </w:tc>
        <w:tc>
          <w:tcPr>
            <w:tcW w:w="240" w:type="dxa"/>
            <w:gridSpan w:val="2"/>
            <w:tcBorders>
              <w:top w:val="nil"/>
              <w:left w:val="nil"/>
              <w:bottom w:val="nil"/>
              <w:right w:val="nil"/>
            </w:tcBorders>
            <w:noWrap w:val="0"/>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91" w:hRule="atLeast"/>
          <w:jc w:val="center"/>
        </w:trPr>
        <w:tc>
          <w:tcPr>
            <w:tcW w:w="13769" w:type="dxa"/>
            <w:gridSpan w:val="16"/>
            <w:tcBorders>
              <w:top w:val="nil"/>
              <w:left w:val="nil"/>
              <w:bottom w:val="nil"/>
              <w:right w:val="nil"/>
            </w:tcBorders>
            <w:shd w:val="clear" w:color="FFFFFF" w:fill="FFFFFF"/>
            <w:noWrap w:val="0"/>
            <w:vAlign w:val="top"/>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2021年度深圳市龙华区住房和建设局政府采购意向公开表</w:t>
            </w:r>
            <w:bookmarkStart w:id="0" w:name="_GoBack"/>
            <w:bookmarkEnd w:id="0"/>
          </w:p>
        </w:tc>
      </w:tr>
      <w:tr>
        <w:tblPrEx>
          <w:tblCellMar>
            <w:top w:w="0" w:type="dxa"/>
            <w:left w:w="108" w:type="dxa"/>
            <w:bottom w:w="0" w:type="dxa"/>
            <w:right w:w="108" w:type="dxa"/>
          </w:tblCellMar>
        </w:tblPrEx>
        <w:trPr>
          <w:trHeight w:val="296" w:hRule="atLeast"/>
          <w:jc w:val="center"/>
        </w:trPr>
        <w:tc>
          <w:tcPr>
            <w:tcW w:w="3615" w:type="dxa"/>
            <w:tcBorders>
              <w:top w:val="nil"/>
              <w:left w:val="nil"/>
              <w:bottom w:val="single" w:color="auto" w:sz="4" w:space="0"/>
              <w:right w:val="nil"/>
            </w:tcBorders>
            <w:shd w:val="clear" w:color="FFFFFF"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单位名称：深圳市龙华区住房和建设局</w:t>
            </w:r>
          </w:p>
        </w:tc>
        <w:tc>
          <w:tcPr>
            <w:tcW w:w="400" w:type="dxa"/>
            <w:tcBorders>
              <w:top w:val="nil"/>
              <w:left w:val="nil"/>
              <w:bottom w:val="single" w:color="auto" w:sz="4" w:space="0"/>
              <w:right w:val="nil"/>
            </w:tcBorders>
            <w:shd w:val="clear" w:color="FFFFFF"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gridSpan w:val="2"/>
            <w:tcBorders>
              <w:top w:val="nil"/>
              <w:left w:val="nil"/>
              <w:bottom w:val="single" w:color="auto" w:sz="4" w:space="0"/>
              <w:right w:val="nil"/>
            </w:tcBorders>
            <w:shd w:val="clear" w:color="auto" w:fill="auto"/>
            <w:noWrap w:val="0"/>
            <w:vAlign w:val="top"/>
          </w:tcPr>
          <w:p>
            <w:pPr>
              <w:widowControl/>
              <w:jc w:val="left"/>
              <w:rPr>
                <w:rFonts w:ascii="宋体" w:hAnsi="宋体" w:cs="宋体"/>
                <w:color w:val="000000"/>
                <w:kern w:val="0"/>
                <w:sz w:val="20"/>
                <w:szCs w:val="20"/>
              </w:rPr>
            </w:pPr>
          </w:p>
        </w:tc>
        <w:tc>
          <w:tcPr>
            <w:tcW w:w="236" w:type="dxa"/>
            <w:tcBorders>
              <w:top w:val="nil"/>
              <w:left w:val="nil"/>
              <w:bottom w:val="single" w:color="auto" w:sz="4" w:space="0"/>
              <w:right w:val="nil"/>
            </w:tcBorders>
            <w:shd w:val="clear" w:color="auto" w:fill="auto"/>
            <w:noWrap w:val="0"/>
            <w:vAlign w:val="top"/>
          </w:tcPr>
          <w:p>
            <w:pPr>
              <w:widowControl/>
              <w:jc w:val="left"/>
              <w:rPr>
                <w:rFonts w:ascii="宋体" w:hAnsi="宋体" w:cs="宋体"/>
                <w:color w:val="000000"/>
                <w:kern w:val="0"/>
                <w:sz w:val="20"/>
                <w:szCs w:val="20"/>
              </w:rPr>
            </w:pPr>
          </w:p>
        </w:tc>
        <w:tc>
          <w:tcPr>
            <w:tcW w:w="1411" w:type="dxa"/>
            <w:gridSpan w:val="2"/>
            <w:tcBorders>
              <w:top w:val="nil"/>
              <w:left w:val="nil"/>
              <w:bottom w:val="single" w:color="auto" w:sz="4" w:space="0"/>
              <w:right w:val="nil"/>
            </w:tcBorders>
            <w:shd w:val="clear" w:color="auto" w:fill="auto"/>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17" w:type="dxa"/>
            <w:gridSpan w:val="3"/>
            <w:tcBorders>
              <w:top w:val="nil"/>
              <w:left w:val="nil"/>
              <w:bottom w:val="nil"/>
              <w:right w:val="nil"/>
            </w:tcBorders>
            <w:shd w:val="clear" w:color="auto" w:fill="auto"/>
            <w:noWrap w:val="0"/>
            <w:vAlign w:val="bottom"/>
          </w:tcPr>
          <w:p>
            <w:pPr>
              <w:widowControl/>
              <w:jc w:val="left"/>
              <w:rPr>
                <w:rFonts w:ascii="宋体" w:hAnsi="宋体" w:cs="宋体"/>
                <w:color w:val="000000"/>
                <w:kern w:val="0"/>
                <w:sz w:val="20"/>
                <w:szCs w:val="20"/>
              </w:rPr>
            </w:pPr>
          </w:p>
        </w:tc>
        <w:tc>
          <w:tcPr>
            <w:tcW w:w="3788" w:type="dxa"/>
            <w:gridSpan w:val="6"/>
            <w:tcBorders>
              <w:top w:val="nil"/>
              <w:left w:val="nil"/>
              <w:bottom w:val="nil"/>
              <w:right w:val="nil"/>
            </w:tcBorders>
            <w:shd w:val="clear" w:color="FFFFFF" w:fill="FFFFFF"/>
            <w:noWrap w:val="0"/>
            <w:vAlign w:val="center"/>
          </w:tcPr>
          <w:p>
            <w:pPr>
              <w:widowControl/>
              <w:ind w:right="200"/>
              <w:jc w:val="center"/>
              <w:rPr>
                <w:rFonts w:ascii="宋体" w:hAnsi="宋体" w:cs="宋体"/>
                <w:color w:val="000000"/>
                <w:kern w:val="0"/>
                <w:sz w:val="20"/>
                <w:szCs w:val="20"/>
              </w:rPr>
            </w:pPr>
            <w:r>
              <w:rPr>
                <w:rFonts w:hint="eastAsia" w:ascii="宋体" w:hAnsi="宋体" w:cs="宋体"/>
                <w:color w:val="000000"/>
                <w:kern w:val="0"/>
                <w:sz w:val="20"/>
                <w:szCs w:val="20"/>
              </w:rPr>
              <w:t xml:space="preserve">                        单位：万元</w:t>
            </w:r>
          </w:p>
        </w:tc>
      </w:tr>
      <w:tr>
        <w:tblPrEx>
          <w:tblCellMar>
            <w:top w:w="0" w:type="dxa"/>
            <w:left w:w="108" w:type="dxa"/>
            <w:bottom w:w="0" w:type="dxa"/>
            <w:right w:w="108" w:type="dxa"/>
          </w:tblCellMar>
        </w:tblPrEx>
        <w:trPr>
          <w:gridAfter w:val="1"/>
          <w:wAfter w:w="37" w:type="dxa"/>
          <w:trHeight w:val="305" w:hRule="atLeast"/>
          <w:jc w:val="center"/>
        </w:trPr>
        <w:tc>
          <w:tcPr>
            <w:tcW w:w="3615"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338" w:type="dxa"/>
            <w:gridSpan w:val="4"/>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5304" w:type="dxa"/>
            <w:gridSpan w:val="6"/>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948" w:type="dxa"/>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1527" w:type="dxa"/>
            <w:gridSpan w:val="3"/>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gridAfter w:val="1"/>
          <w:wAfter w:w="37" w:type="dxa"/>
          <w:trHeight w:val="4259" w:hRule="atLeast"/>
          <w:jc w:val="center"/>
        </w:trPr>
        <w:tc>
          <w:tcPr>
            <w:tcW w:w="3615"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龙华区住房和建设局</w:t>
            </w:r>
          </w:p>
        </w:tc>
        <w:tc>
          <w:tcPr>
            <w:tcW w:w="133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w:t>
            </w: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月</w:t>
            </w:r>
          </w:p>
        </w:tc>
        <w:tc>
          <w:tcPr>
            <w:tcW w:w="5304" w:type="dxa"/>
            <w:gridSpan w:val="6"/>
            <w:tcBorders>
              <w:top w:val="nil"/>
              <w:left w:val="nil"/>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eastAsia="宋体" w:cs="宋体"/>
                <w:color w:val="000000"/>
                <w:kern w:val="0"/>
                <w:sz w:val="20"/>
                <w:szCs w:val="20"/>
              </w:rPr>
              <w:t>合法成立、具有房地产市场巡查工作经验，开展过相关房地产市场服务工作以及综合实力较强的服务机构，协助开展相关工作。</w:t>
            </w:r>
            <w:r>
              <w:rPr>
                <w:rFonts w:hint="eastAsia" w:ascii="宋体" w:hAnsi="宋体" w:cs="宋体"/>
                <w:color w:val="000000"/>
                <w:kern w:val="0"/>
                <w:sz w:val="20"/>
                <w:szCs w:val="20"/>
              </w:rPr>
              <w:t>主要</w:t>
            </w:r>
            <w:r>
              <w:rPr>
                <w:rFonts w:hint="eastAsia" w:ascii="宋体" w:hAnsi="宋体" w:cs="宋体"/>
                <w:color w:val="000000"/>
                <w:kern w:val="0"/>
                <w:sz w:val="20"/>
                <w:szCs w:val="20"/>
                <w:lang w:eastAsia="zh-CN"/>
              </w:rPr>
              <w:t>工作</w:t>
            </w:r>
            <w:r>
              <w:rPr>
                <w:rFonts w:hint="eastAsia" w:ascii="宋体" w:hAnsi="宋体" w:cs="宋体"/>
                <w:color w:val="000000"/>
                <w:kern w:val="0"/>
                <w:sz w:val="20"/>
                <w:szCs w:val="20"/>
              </w:rPr>
              <w:t>内容如下：</w:t>
            </w:r>
            <w:r>
              <w:rPr>
                <w:rFonts w:hint="eastAsia" w:ascii="宋体" w:hAnsi="宋体" w:eastAsia="宋体" w:cs="宋体"/>
                <w:color w:val="000000"/>
                <w:kern w:val="0"/>
                <w:sz w:val="20"/>
                <w:szCs w:val="20"/>
              </w:rPr>
              <w:t>（</w:t>
            </w:r>
            <w:r>
              <w:rPr>
                <w:rFonts w:hint="eastAsia" w:ascii="宋体" w:hAnsi="宋体" w:cs="宋体"/>
                <w:color w:val="000000"/>
                <w:kern w:val="0"/>
                <w:sz w:val="20"/>
                <w:szCs w:val="20"/>
                <w:highlight w:val="none"/>
                <w:lang w:eastAsia="zh-CN"/>
              </w:rPr>
              <w:t>1</w:t>
            </w:r>
            <w:r>
              <w:rPr>
                <w:rFonts w:hint="eastAsia" w:ascii="宋体" w:hAnsi="宋体" w:eastAsia="宋体" w:cs="宋体"/>
                <w:color w:val="000000"/>
                <w:kern w:val="0"/>
                <w:sz w:val="20"/>
                <w:szCs w:val="20"/>
              </w:rPr>
              <w:t>）协助开展日常巡查工作。（</w:t>
            </w:r>
            <w:r>
              <w:rPr>
                <w:rFonts w:hint="eastAsia" w:ascii="宋体" w:hAnsi="宋体" w:cs="宋体"/>
                <w:color w:val="000000"/>
                <w:kern w:val="0"/>
                <w:sz w:val="20"/>
                <w:szCs w:val="20"/>
                <w:highlight w:val="none"/>
                <w:lang w:eastAsia="zh-CN"/>
              </w:rPr>
              <w:t>2</w:t>
            </w:r>
            <w:r>
              <w:rPr>
                <w:rFonts w:hint="eastAsia" w:ascii="宋体" w:hAnsi="宋体" w:eastAsia="宋体" w:cs="宋体"/>
                <w:color w:val="000000"/>
                <w:kern w:val="0"/>
                <w:sz w:val="20"/>
                <w:szCs w:val="20"/>
              </w:rPr>
              <w:t>）协助开展龙华区房地产开发机构专项整治、临时抽检、案件调查等活动。（</w:t>
            </w:r>
            <w:r>
              <w:rPr>
                <w:rFonts w:hint="eastAsia" w:ascii="宋体" w:hAnsi="宋体" w:cs="宋体"/>
                <w:color w:val="000000"/>
                <w:kern w:val="0"/>
                <w:sz w:val="20"/>
                <w:szCs w:val="20"/>
                <w:highlight w:val="none"/>
                <w:lang w:eastAsia="zh-CN"/>
              </w:rPr>
              <w:t>3</w:t>
            </w:r>
            <w:r>
              <w:rPr>
                <w:rFonts w:hint="eastAsia" w:ascii="宋体" w:hAnsi="宋体" w:eastAsia="宋体" w:cs="宋体"/>
                <w:color w:val="000000"/>
                <w:kern w:val="0"/>
                <w:sz w:val="20"/>
                <w:szCs w:val="20"/>
              </w:rPr>
              <w:t>）建成我区房地产行业“一企一档”</w:t>
            </w:r>
            <w:r>
              <w:rPr>
                <w:rFonts w:hint="eastAsia" w:ascii="宋体" w:hAnsi="宋体" w:cs="宋体"/>
                <w:color w:val="000000"/>
                <w:kern w:val="0"/>
                <w:sz w:val="20"/>
                <w:szCs w:val="20"/>
                <w:highlight w:val="none"/>
                <w:lang w:eastAsia="zh-CN"/>
              </w:rPr>
              <w:t>。</w:t>
            </w:r>
            <w:r>
              <w:rPr>
                <w:rFonts w:hint="eastAsia" w:ascii="宋体" w:hAnsi="宋体" w:eastAsia="宋体" w:cs="宋体"/>
                <w:color w:val="000000"/>
                <w:kern w:val="0"/>
                <w:sz w:val="20"/>
                <w:szCs w:val="20"/>
              </w:rPr>
              <w:t>（</w:t>
            </w:r>
            <w:r>
              <w:rPr>
                <w:rFonts w:hint="eastAsia" w:ascii="宋体" w:hAnsi="宋体" w:cs="宋体"/>
                <w:color w:val="000000"/>
                <w:kern w:val="0"/>
                <w:sz w:val="20"/>
                <w:szCs w:val="20"/>
                <w:highlight w:val="none"/>
                <w:lang w:eastAsia="zh-CN"/>
              </w:rPr>
              <w:t>4</w:t>
            </w:r>
            <w:r>
              <w:rPr>
                <w:rFonts w:hint="eastAsia" w:ascii="宋体" w:hAnsi="宋体" w:eastAsia="宋体" w:cs="宋体"/>
                <w:color w:val="000000"/>
                <w:kern w:val="0"/>
                <w:sz w:val="20"/>
                <w:szCs w:val="20"/>
              </w:rPr>
              <w:t>）建设我区开发企业“项目手册”</w:t>
            </w:r>
            <w:r>
              <w:rPr>
                <w:rFonts w:hint="eastAsia" w:ascii="宋体" w:hAnsi="宋体" w:cs="宋体"/>
                <w:color w:val="000000"/>
                <w:kern w:val="0"/>
                <w:sz w:val="20"/>
                <w:szCs w:val="20"/>
                <w:highlight w:val="none"/>
                <w:lang w:eastAsia="zh-CN"/>
              </w:rPr>
              <w:t>，</w:t>
            </w:r>
            <w:r>
              <w:rPr>
                <w:rFonts w:hint="eastAsia" w:ascii="宋体" w:hAnsi="宋体" w:eastAsia="宋体" w:cs="宋体"/>
                <w:color w:val="000000"/>
                <w:kern w:val="0"/>
                <w:sz w:val="20"/>
                <w:szCs w:val="20"/>
              </w:rPr>
              <w:t>对项目信息进行动态监测。（</w:t>
            </w:r>
            <w:r>
              <w:rPr>
                <w:rFonts w:hint="eastAsia" w:ascii="宋体" w:hAnsi="宋体" w:cs="宋体"/>
                <w:color w:val="000000"/>
                <w:kern w:val="0"/>
                <w:sz w:val="20"/>
                <w:szCs w:val="20"/>
                <w:highlight w:val="none"/>
                <w:lang w:eastAsia="zh-CN"/>
              </w:rPr>
              <w:t>5</w:t>
            </w:r>
            <w:r>
              <w:rPr>
                <w:rFonts w:hint="eastAsia" w:ascii="宋体" w:hAnsi="宋体" w:eastAsia="宋体" w:cs="宋体"/>
                <w:color w:val="000000"/>
                <w:kern w:val="0"/>
                <w:sz w:val="20"/>
                <w:szCs w:val="20"/>
              </w:rPr>
              <w:t>）对龙华区房地产开发企业综合实力进行数据化分析，并提供企业诚信指标数据信息</w:t>
            </w:r>
            <w:r>
              <w:rPr>
                <w:rFonts w:hint="eastAsia" w:ascii="宋体" w:hAnsi="宋体" w:cs="宋体"/>
                <w:color w:val="000000"/>
                <w:kern w:val="0"/>
                <w:sz w:val="20"/>
                <w:szCs w:val="20"/>
                <w:highlight w:val="none"/>
                <w:lang w:eastAsia="zh-CN"/>
              </w:rPr>
              <w:t>。</w:t>
            </w:r>
            <w:r>
              <w:rPr>
                <w:rFonts w:hint="eastAsia" w:ascii="宋体" w:hAnsi="宋体" w:eastAsia="宋体" w:cs="宋体"/>
                <w:color w:val="000000"/>
                <w:kern w:val="0"/>
                <w:sz w:val="20"/>
                <w:szCs w:val="20"/>
              </w:rPr>
              <w:t>（</w:t>
            </w:r>
            <w:r>
              <w:rPr>
                <w:rFonts w:hint="eastAsia" w:ascii="宋体" w:hAnsi="宋体" w:cs="宋体"/>
                <w:color w:val="000000"/>
                <w:kern w:val="0"/>
                <w:sz w:val="20"/>
                <w:szCs w:val="20"/>
                <w:highlight w:val="none"/>
                <w:lang w:eastAsia="zh-CN"/>
              </w:rPr>
              <w:t>6</w:t>
            </w:r>
            <w:r>
              <w:rPr>
                <w:rFonts w:hint="eastAsia" w:ascii="宋体" w:hAnsi="宋体" w:eastAsia="宋体" w:cs="宋体"/>
                <w:color w:val="000000"/>
                <w:kern w:val="0"/>
                <w:sz w:val="20"/>
                <w:szCs w:val="20"/>
              </w:rPr>
              <w:t>）协助开展针对房地产开发机构的政策落实情况监测及分析调研工作，提供房地产行业发展实时动态信息，为</w:t>
            </w:r>
            <w:r>
              <w:rPr>
                <w:rFonts w:hint="eastAsia" w:ascii="宋体" w:hAnsi="宋体" w:cs="宋体"/>
                <w:color w:val="000000"/>
                <w:kern w:val="0"/>
                <w:sz w:val="20"/>
                <w:szCs w:val="20"/>
                <w:lang w:eastAsia="zh-CN"/>
              </w:rPr>
              <w:t>我局</w:t>
            </w:r>
            <w:r>
              <w:rPr>
                <w:rFonts w:hint="eastAsia" w:ascii="宋体" w:hAnsi="宋体" w:eastAsia="宋体" w:cs="宋体"/>
                <w:color w:val="000000"/>
                <w:kern w:val="0"/>
                <w:sz w:val="20"/>
                <w:szCs w:val="20"/>
              </w:rPr>
              <w:t>制定相应的决策、政策提供参考。（</w:t>
            </w:r>
            <w:r>
              <w:rPr>
                <w:rFonts w:hint="eastAsia" w:ascii="宋体" w:hAnsi="宋体" w:cs="宋体"/>
                <w:color w:val="000000"/>
                <w:kern w:val="0"/>
                <w:sz w:val="20"/>
                <w:szCs w:val="20"/>
                <w:highlight w:val="none"/>
                <w:lang w:val="en-US" w:eastAsia="zh-CN"/>
              </w:rPr>
              <w:t>7</w:t>
            </w:r>
            <w:r>
              <w:rPr>
                <w:rFonts w:hint="eastAsia" w:ascii="宋体" w:hAnsi="宋体" w:eastAsia="宋体" w:cs="宋体"/>
                <w:color w:val="000000"/>
                <w:kern w:val="0"/>
                <w:sz w:val="20"/>
                <w:szCs w:val="20"/>
              </w:rPr>
              <w:t>）针对房地产市场突发事件进行动态监测和初步分析，及时报送并协助做好应对和风险防控。（</w:t>
            </w:r>
            <w:r>
              <w:rPr>
                <w:rFonts w:hint="eastAsia" w:ascii="宋体" w:hAnsi="宋体" w:cs="宋体"/>
                <w:color w:val="000000"/>
                <w:kern w:val="0"/>
                <w:sz w:val="20"/>
                <w:szCs w:val="20"/>
                <w:highlight w:val="none"/>
                <w:lang w:eastAsia="zh-CN"/>
              </w:rPr>
              <w:t>8</w:t>
            </w:r>
            <w:r>
              <w:rPr>
                <w:rFonts w:hint="eastAsia" w:ascii="宋体" w:hAnsi="宋体" w:eastAsia="宋体" w:cs="宋体"/>
                <w:color w:val="000000"/>
                <w:kern w:val="0"/>
                <w:sz w:val="20"/>
                <w:szCs w:val="20"/>
              </w:rPr>
              <w:t>）需组建不少于十名工作人员的服务团队开展工作，并为团队服务人员提供办公场所及办公设备等。</w:t>
            </w:r>
          </w:p>
        </w:tc>
        <w:tc>
          <w:tcPr>
            <w:tcW w:w="1948" w:type="dxa"/>
            <w:tcBorders>
              <w:top w:val="nil"/>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205</w:t>
            </w:r>
            <w:r>
              <w:rPr>
                <w:rFonts w:hint="eastAsia" w:ascii="宋体" w:hAnsi="宋体" w:cs="宋体"/>
                <w:color w:val="000000"/>
                <w:kern w:val="0"/>
                <w:sz w:val="20"/>
                <w:szCs w:val="20"/>
              </w:rPr>
              <w:t>（预计）</w:t>
            </w:r>
          </w:p>
        </w:tc>
        <w:tc>
          <w:tcPr>
            <w:tcW w:w="1527" w:type="dxa"/>
            <w:gridSpan w:val="3"/>
            <w:tcBorders>
              <w:top w:val="nil"/>
              <w:left w:val="nil"/>
              <w:right w:val="single" w:color="auto" w:sz="4" w:space="0"/>
            </w:tcBorders>
            <w:shd w:val="clear" w:color="FFFFFF" w:fill="FFFFFF"/>
            <w:noWrap w:val="0"/>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5" w:hRule="atLeast"/>
          <w:jc w:val="center"/>
        </w:trPr>
        <w:tc>
          <w:tcPr>
            <w:tcW w:w="13769" w:type="dxa"/>
            <w:gridSpan w:val="16"/>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83728021</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李工</w:t>
            </w:r>
          </w:p>
        </w:tc>
      </w:tr>
      <w:tr>
        <w:tblPrEx>
          <w:tblCellMar>
            <w:top w:w="0" w:type="dxa"/>
            <w:left w:w="108" w:type="dxa"/>
            <w:bottom w:w="0" w:type="dxa"/>
            <w:right w:w="108" w:type="dxa"/>
          </w:tblCellMar>
        </w:tblPrEx>
        <w:trPr>
          <w:trHeight w:val="916" w:hRule="atLeast"/>
          <w:jc w:val="center"/>
        </w:trPr>
        <w:tc>
          <w:tcPr>
            <w:tcW w:w="13769" w:type="dxa"/>
            <w:gridSpan w:val="16"/>
            <w:tcBorders>
              <w:top w:val="single" w:color="auto" w:sz="4" w:space="0"/>
              <w:left w:val="nil"/>
              <w:bottom w:val="nil"/>
              <w:right w:val="nil"/>
            </w:tcBorders>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6EFE"/>
    <w:rsid w:val="066614A4"/>
    <w:rsid w:val="2B2A4FF4"/>
    <w:rsid w:val="58794485"/>
    <w:rsid w:val="6592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2021-10-21T03:18:00Z</dcterms:created>
  <dc:creator>elephant</dc:creator>
  <cp:lastModifiedBy>elephant</cp:lastModifiedBy>
  <dcterms:modified xsi:type="dcterms:W3CDTF">2021-10-21T03:22:28Z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