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附件：深圳市龙华区水务局</w:t>
      </w:r>
      <w:r>
        <w:rPr>
          <w:rFonts w:hint="eastAsia" w:ascii="小标宋" w:eastAsia="小标宋"/>
          <w:sz w:val="44"/>
          <w:szCs w:val="44"/>
        </w:rPr>
        <w:t>予以水土保持设施验收集中备案的生产建设项目清单（第</w:t>
      </w:r>
      <w:r>
        <w:rPr>
          <w:rFonts w:hint="eastAsia" w:ascii="小标宋" w:eastAsia="小标宋"/>
          <w:sz w:val="44"/>
          <w:szCs w:val="44"/>
          <w:lang w:val="en-US" w:eastAsia="zh-CN"/>
        </w:rPr>
        <w:t>二</w:t>
      </w:r>
      <w:r>
        <w:rPr>
          <w:rFonts w:hint="eastAsia" w:ascii="小标宋" w:eastAsia="小标宋"/>
          <w:sz w:val="44"/>
          <w:szCs w:val="44"/>
        </w:rPr>
        <w:t>批）</w:t>
      </w:r>
      <w:bookmarkStart w:id="0" w:name="_GoBack"/>
      <w:bookmarkEnd w:id="0"/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153"/>
        <w:gridCol w:w="447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生产建设项目名称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建设单位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桂盟工业厂区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桂盟链条（深圳）有限公司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新海洋工业园厂房M、P、Q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新海光塑胶厂（深圳）有限公司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荔港轩厂区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深圳市丰盛硕科技有限公司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观澜街道横坑河东村给水管网改造工程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深圳市深水宝安水务集团有限公司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观澜街道新田吉坑村给水管网改造工程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深圳市深水宝安水务集团有限公司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宝华路（龙胜路—工业大道）工程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深龙水许函〔2013〕101号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深圳市上塘股份合作公司（龙屋社区）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深圳市龙华上塘股份合作公司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深圳市服装产业集聚基地公共服务平台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新田茗苑非农返还安置项目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深圳市新田股份合作公司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龙华茜坑水厂排泥系统及加药间改造工程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深圳市龙华自来水有限公司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2014〕069号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龙华办事处富士康人行及跨河桥工程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龙华通信机楼工程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深龙水许函〔2014〕103号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110KV富观、光汽线架空线路改迁工程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深圳市万疆城投资发展有限公司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深龙水许函〔2015〕033号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深圳市龙华新区梅观高速华为至大发埔段积水整治工程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深龙水许函〔2015〕064号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建达路改造工程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深龙水许函〔2015〕072号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龙华二线拓展区满园街（民塘路-梅龙大道）市政工程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深龙水许函〔2015〕084号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龙华世界名车广场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深圳市伟泰祥实业发展有限公司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保利悦都花园市政配套工程-市政天桥工程（东风汽车厂城市更新单元项目空中步行通道）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深圳市交通运输局龙华管理局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华月路市政道路工程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松和片区支路网完善工程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清湖片区支路网完善工程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龙华新区锦绣花园段暗渠化河道地面坍塌隐患工程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龙华新区碧波花园段暗渠化河道地面坍塌隐患治理工程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龙华新区金碧世家段段暗渠化河道地面坍塌隐患治理工程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龙华新区中英文实验学校段暗渠河道面坍塌隐患治理工程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龙园路（龙观路至建辉路）改造工程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深龙水许函〔2016〕142号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深圳市民治沙元埔股份合作公司非农建设用地整合项目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深圳市民治沙元埔股份合作公司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深龙水许函〔2017〕16号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东环一路（建设路—东环二路）沥青罩面工程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深圳市龙华区龙华街道办事处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深龙水许函〔2017〕18号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公园路(工业大道至人民路)综合提升工程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深龙水许函〔2017〕117号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jc w:val="both"/>
        <w:rPr>
          <w:rFonts w:ascii="小标宋" w:eastAsia="小标宋"/>
          <w:sz w:val="44"/>
          <w:szCs w:val="4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012ACF"/>
    <w:rsid w:val="003B06EA"/>
    <w:rsid w:val="004A4673"/>
    <w:rsid w:val="00575C1E"/>
    <w:rsid w:val="006D0AF5"/>
    <w:rsid w:val="007573A7"/>
    <w:rsid w:val="00945C6D"/>
    <w:rsid w:val="00950BE4"/>
    <w:rsid w:val="009515E3"/>
    <w:rsid w:val="00B82D70"/>
    <w:rsid w:val="00BA3C01"/>
    <w:rsid w:val="00F25521"/>
    <w:rsid w:val="00F72DE9"/>
    <w:rsid w:val="15A75790"/>
    <w:rsid w:val="1EAF75EB"/>
    <w:rsid w:val="334105DD"/>
    <w:rsid w:val="49204055"/>
    <w:rsid w:val="4A995B02"/>
    <w:rsid w:val="51FC4E65"/>
    <w:rsid w:val="5388330D"/>
    <w:rsid w:val="5FC2519E"/>
    <w:rsid w:val="66494A90"/>
    <w:rsid w:val="6EF16FB5"/>
    <w:rsid w:val="6FC02724"/>
    <w:rsid w:val="6F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1186</Words>
  <Characters>6762</Characters>
  <Lines>56</Lines>
  <Paragraphs>15</Paragraphs>
  <TotalTime>2</TotalTime>
  <ScaleCrop>false</ScaleCrop>
  <LinksUpToDate>false</LinksUpToDate>
  <CharactersWithSpaces>7933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2021-07-15T03:24:00Z</dcterms:created>
  <dc:creator>高阳</dc:creator>
  <cp:lastModifiedBy>唐祥</cp:lastModifiedBy>
  <dcterms:modified xsi:type="dcterms:W3CDTF">2021-12-15T07:00:28Z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BBD09F57F5274068AF90A5176B6F2178</vt:lpwstr>
  </property>
</Properties>
</file>