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20" w:type="dxa"/>
        <w:tblInd w:w="18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037"/>
        <w:gridCol w:w="2281"/>
        <w:gridCol w:w="2282"/>
        <w:gridCol w:w="228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52" w:hRule="atLeast"/>
        </w:trPr>
        <w:tc>
          <w:tcPr>
            <w:tcW w:w="9620" w:type="dxa"/>
            <w:gridSpan w:val="5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办理清单：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39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3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提案意见建议</w:t>
            </w:r>
          </w:p>
        </w:tc>
        <w:tc>
          <w:tcPr>
            <w:tcW w:w="22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当年已完成的事项</w:t>
            </w:r>
          </w:p>
        </w:tc>
        <w:tc>
          <w:tcPr>
            <w:tcW w:w="228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当年已推动的工作</w:t>
            </w:r>
          </w:p>
        </w:tc>
        <w:tc>
          <w:tcPr>
            <w:tcW w:w="22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明年待落实事项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3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3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1.加大人才住房建设，增加人才房数量。</w:t>
            </w:r>
          </w:p>
        </w:tc>
        <w:tc>
          <w:tcPr>
            <w:tcW w:w="22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1.1.我区通过各种渠道，已加快建设筹集人才住房。2.完善辖区引进人才住房保障体系，对中初级人才、高层次人才、短期性过渡性的引进人才进行住房保障。3.加大市场租赁住房供应和监管力度，不断增加租赁住房供给，稳定租金水平。</w:t>
            </w:r>
          </w:p>
        </w:tc>
        <w:tc>
          <w:tcPr>
            <w:tcW w:w="228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1.无</w:t>
            </w:r>
          </w:p>
        </w:tc>
        <w:tc>
          <w:tcPr>
            <w:tcW w:w="22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2.评估改善建设工商业用地合理占比。</w:t>
            </w:r>
          </w:p>
        </w:tc>
        <w:tc>
          <w:tcPr>
            <w:tcW w:w="22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1.2020年通过“工改保”的方式，规划新增居住用地约3.8公顷和24班小学，优化了片区空间布局。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我区面向符合条件的人才发放重点企业人才租房货币补贴、技能人才货币补贴、新引进人才租房和生活补贴，已进一步加大了人才住房补贴力度。</w:t>
            </w:r>
          </w:p>
        </w:tc>
        <w:tc>
          <w:tcPr>
            <w:tcW w:w="228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1.无</w:t>
            </w:r>
          </w:p>
        </w:tc>
        <w:tc>
          <w:tcPr>
            <w:tcW w:w="22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3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3.政府增加人才住房补助力度。</w:t>
            </w:r>
          </w:p>
        </w:tc>
        <w:tc>
          <w:tcPr>
            <w:tcW w:w="22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1.我区面向符合条件的人才发放重点企业人才租房货币补贴、技能人才货币补贴、新引进人才租房和生活补贴，已进一步加大了人才住房补贴力度。</w:t>
            </w:r>
          </w:p>
        </w:tc>
        <w:tc>
          <w:tcPr>
            <w:tcW w:w="228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1.无</w:t>
            </w:r>
          </w:p>
        </w:tc>
        <w:tc>
          <w:tcPr>
            <w:tcW w:w="22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1.根据我区实际情况，“十四五”期间我区转变“拼资金”的工作方式，通过实物配租切实保障重点企业人才的住房需求，故我区重点企业人才租房货币补贴政策会有所调整，我局将按照届时工作安排予以落实。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c>
          <w:tcPr>
            <w:tcW w:w="73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3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4.补齐城市公共服务配套短板。</w:t>
            </w:r>
          </w:p>
        </w:tc>
        <w:tc>
          <w:tcPr>
            <w:tcW w:w="22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1.1.我区法定图则规划居住用地约25平方公里，公共配套设施用地约7.3平方公里，在全区建设用地中占比分别为22%和6.4%。2.我区在审查产业升级类的城市更新项目时，原则上均按照相关标准与政策，按一定比例配建宿舍等产业配套设施。3.在分配保障性住房时充分考虑申请人员对居住区域的个人意愿，提升人才的归属感的方面。4.加大保障性住房周边公共服务配套建设，增强人才的幸福感的问题。</w:t>
            </w:r>
          </w:p>
        </w:tc>
        <w:tc>
          <w:tcPr>
            <w:tcW w:w="228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1.无</w:t>
            </w:r>
          </w:p>
        </w:tc>
        <w:tc>
          <w:tcPr>
            <w:tcW w:w="22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1.我区在土地整备利益统筹项目可安排共享建筑面积基础上，在共享建筑面积中适当安排建设一定比例的公共租赁住房，以缓解技能人才住房供给不足问题。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3" w:bottom="1440" w:left="108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9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2022-01-10T07:57:47Z</dcterms:created>
  <dc:creator>Administrator</dc:creator>
  <cp:lastModifiedBy>习惯。</cp:lastModifiedBy>
  <dcterms:modified xsi:type="dcterms:W3CDTF">2022-01-10T07:58:03Z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