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 w:eastAsia="楷体_GB2312" w:cs="楷体"/>
          <w:b/>
          <w:bCs/>
          <w:szCs w:val="32"/>
          <w:shd w:val="clear" w:color="auto" w:fill="FFFFFF"/>
        </w:rPr>
      </w:pPr>
      <w:r>
        <w:rPr>
          <w:rFonts w:hint="eastAsia" w:ascii="楷体_GB2312" w:hAnsi="楷体" w:eastAsia="楷体_GB2312" w:cs="楷体"/>
          <w:b/>
          <w:bCs/>
          <w:szCs w:val="32"/>
          <w:shd w:val="clear" w:color="auto" w:fill="FFFFFF"/>
        </w:rPr>
        <w:t>（</w:t>
      </w:r>
      <w:r>
        <w:rPr>
          <w:rFonts w:hint="eastAsia" w:ascii="楷体_GB2312" w:hAnsi="楷体" w:eastAsia="楷体_GB2312" w:cs="楷体"/>
          <w:b/>
          <w:bCs/>
          <w:szCs w:val="32"/>
          <w:shd w:val="clear" w:color="auto" w:fill="FFFFFF"/>
          <w:lang w:val="en-US" w:eastAsia="zh-CN"/>
        </w:rPr>
        <w:t>一</w:t>
      </w:r>
      <w:r>
        <w:rPr>
          <w:rFonts w:hint="eastAsia" w:ascii="楷体_GB2312" w:hAnsi="楷体" w:eastAsia="楷体_GB2312" w:cs="楷体"/>
          <w:b/>
          <w:bCs/>
          <w:szCs w:val="32"/>
          <w:shd w:val="clear" w:color="auto" w:fill="FFFFFF"/>
        </w:rPr>
        <w:t>）铅</w:t>
      </w:r>
    </w:p>
    <w:p>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rPr>
      </w:pPr>
      <w:r>
        <w:rPr>
          <w:rFonts w:hint="eastAsia" w:ascii="仿宋_GB2312" w:hAnsi="仿宋_GB2312" w:cs="仿宋_GB2312"/>
          <w:sz w:val="32"/>
          <w:szCs w:val="32"/>
        </w:rPr>
        <w:t>铅是一种能够在生物体内蓄积且排除缓慢的重金属污染物。《食品安全国家标准 食品中污染物限量》（GB 2762</w:t>
      </w:r>
      <w:r>
        <w:rPr>
          <w:rFonts w:hint="eastAsia" w:ascii="仿宋_GB2312" w:hAnsi="仿宋_GB2312" w:eastAsia="仿宋_GB2312" w:cs="仿宋_GB2312"/>
          <w:color w:val="0000FF"/>
          <w:szCs w:val="32"/>
        </w:rPr>
        <w:t>-</w:t>
      </w:r>
      <w:r>
        <w:rPr>
          <w:rFonts w:hint="eastAsia" w:ascii="仿宋_GB2312" w:hAnsi="仿宋_GB2312" w:cs="仿宋_GB2312"/>
          <w:sz w:val="32"/>
          <w:szCs w:val="32"/>
        </w:rPr>
        <w:t>2012）中规定，</w:t>
      </w:r>
      <w:r>
        <w:rPr>
          <w:rFonts w:hint="eastAsia" w:ascii="仿宋_GB2312" w:hAnsi="仿宋" w:eastAsia="仿宋_GB2312"/>
          <w:sz w:val="32"/>
          <w:szCs w:val="32"/>
        </w:rPr>
        <w:t>干制蔬菜中的铅(以Pb计)应≤0.1/(1-脱水率)(mg/kg)。</w:t>
      </w:r>
      <w:r>
        <w:rPr>
          <w:rFonts w:hint="eastAsia" w:ascii="仿宋_GB2312" w:hAnsi="仿宋_GB2312" w:cs="仿宋_GB2312"/>
          <w:sz w:val="32"/>
          <w:szCs w:val="32"/>
        </w:rPr>
        <w:t>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二</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三</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本次不合格样品标签明示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pageBreakBefore w:val="0"/>
        <w:widowControl/>
        <w:shd w:val="clear" w:color="auto" w:fill="FEFEFE"/>
        <w:kinsoku/>
        <w:wordWrap/>
        <w:overflowPunct/>
        <w:topLinePunct w:val="0"/>
        <w:autoSpaceDE/>
        <w:autoSpaceDN/>
        <w:bidi w:val="0"/>
        <w:adjustRightInd/>
        <w:snapToGrid/>
        <w:spacing w:line="560" w:lineRule="exact"/>
        <w:ind w:left="0" w:leftChars="0" w:firstLine="734" w:firstLineChars="200"/>
        <w:textAlignment w:val="auto"/>
        <w:rPr>
          <w:rFonts w:ascii="楷体_GB2312" w:hAnsi="微软雅黑" w:eastAsia="楷体_GB2312" w:cs="宋体"/>
          <w:b/>
          <w:color w:val="000000" w:themeColor="text1"/>
          <w:spacing w:val="23"/>
          <w:kern w:val="0"/>
          <w:sz w:val="32"/>
          <w:szCs w:val="32"/>
          <w14:textFill>
            <w14:solidFill>
              <w14:schemeClr w14:val="tx1"/>
            </w14:solidFill>
          </w14:textFill>
        </w:rPr>
      </w:pPr>
      <w:r>
        <w:rPr>
          <w:rFonts w:hint="eastAsia" w:ascii="楷体_GB2312" w:hAnsi="微软雅黑" w:eastAsia="楷体_GB2312" w:cs="宋体"/>
          <w:b/>
          <w:color w:val="000000" w:themeColor="text1"/>
          <w:spacing w:val="23"/>
          <w:kern w:val="0"/>
          <w:sz w:val="32"/>
          <w:szCs w:val="32"/>
          <w:lang w:eastAsia="zh-CN"/>
          <w14:textFill>
            <w14:solidFill>
              <w14:schemeClr w14:val="tx1"/>
            </w14:solidFill>
          </w14:textFill>
        </w:rPr>
        <w:t>（四）</w:t>
      </w:r>
      <w:r>
        <w:rPr>
          <w:rFonts w:hint="eastAsia" w:ascii="楷体_GB2312" w:hAnsi="微软雅黑" w:eastAsia="楷体_GB2312" w:cs="宋体"/>
          <w:b/>
          <w:color w:val="000000" w:themeColor="text1"/>
          <w:spacing w:val="23"/>
          <w:kern w:val="0"/>
          <w:sz w:val="32"/>
          <w:szCs w:val="32"/>
          <w14:textFill>
            <w14:solidFill>
              <w14:schemeClr w14:val="tx1"/>
            </w14:solidFill>
          </w14:textFill>
        </w:rPr>
        <w:t>氯氰菊酯和高效氯氰菊酯</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氯氰菊酯和高效氯氰菊酯是一种拟除虫菊酯类杀虫剂，具有广谱、高效、快速的作用特点，对害虫以触杀和胃毒为主。《食品安全国家标准 食品中农药最大残留限量》（GB 2763</w:t>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lang w:val="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val="zh-CN"/>
        </w:rPr>
        <w:t>）中规定，氯氰菊酯和高效氯氰菊酯在</w:t>
      </w:r>
      <w:r>
        <w:rPr>
          <w:rFonts w:hint="eastAsia" w:ascii="仿宋_GB2312" w:hAnsi="仿宋" w:cs="宋体"/>
          <w:kern w:val="0"/>
          <w:sz w:val="32"/>
          <w:szCs w:val="32"/>
          <w:lang w:val="zh-CN" w:eastAsia="zh-CN"/>
        </w:rPr>
        <w:t>瓜类蔬菜（黄瓜除外）</w:t>
      </w:r>
      <w:r>
        <w:rPr>
          <w:rFonts w:hint="eastAsia" w:ascii="仿宋_GB2312" w:hAnsi="仿宋" w:cs="宋体"/>
          <w:kern w:val="0"/>
          <w:sz w:val="32"/>
          <w:szCs w:val="32"/>
          <w:lang w:val="en-US" w:eastAsia="zh-CN"/>
        </w:rPr>
        <w:t>中</w:t>
      </w:r>
      <w:r>
        <w:rPr>
          <w:rFonts w:hint="eastAsia" w:ascii="仿宋_GB2312" w:hAnsi="仿宋" w:eastAsia="仿宋_GB2312" w:cs="宋体"/>
          <w:kern w:val="0"/>
          <w:sz w:val="32"/>
          <w:szCs w:val="32"/>
          <w:lang w:val="en-US" w:eastAsia="zh-CN"/>
        </w:rPr>
        <w:t>应</w:t>
      </w:r>
      <w:r>
        <w:rPr>
          <w:rFonts w:hint="eastAsia" w:ascii="仿宋_GB2312" w:hAnsi="仿宋" w:eastAsia="仿宋_GB2312"/>
          <w:sz w:val="32"/>
          <w:szCs w:val="32"/>
        </w:rPr>
        <w:t>≤</w:t>
      </w:r>
      <w:r>
        <w:rPr>
          <w:rFonts w:hint="eastAsia" w:ascii="仿宋_GB2312" w:hAnsi="仿宋" w:cs="宋体"/>
          <w:kern w:val="0"/>
          <w:sz w:val="32"/>
          <w:szCs w:val="32"/>
          <w:lang w:val="en-US" w:eastAsia="zh-CN"/>
        </w:rPr>
        <w:t>0.07</w:t>
      </w:r>
      <w:r>
        <w:rPr>
          <w:rFonts w:hint="eastAsia" w:ascii="仿宋_GB2312" w:hAnsi="仿宋" w:eastAsia="仿宋_GB2312" w:cs="宋体"/>
          <w:kern w:val="0"/>
          <w:sz w:val="32"/>
          <w:szCs w:val="32"/>
          <w:lang w:val="zh-CN"/>
        </w:rPr>
        <w:t>mg/kg。少量的农药残留不会引起人体急性中毒，但长期食用农药残留超标的食品，对人体健康有一定影响。</w:t>
      </w:r>
    </w:p>
    <w:p>
      <w:pPr>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五</w:t>
      </w:r>
      <w:r>
        <w:rPr>
          <w:rFonts w:hint="eastAsia" w:ascii="楷体_GB2312" w:hAnsi="楷体" w:eastAsia="楷体_GB2312" w:cs="Arial"/>
          <w:b/>
          <w:sz w:val="32"/>
          <w:szCs w:val="32"/>
          <w:shd w:val="clear" w:color="auto" w:fill="FFFFFF"/>
        </w:rPr>
        <w:t>）氧乐果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氧乐果是一种内吸性强，杀虫活性高的杀虫剂。《食品安全国家标准 食品中农药最大残留限量》（GB 2763-2019）中规定，</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六</w:t>
      </w:r>
      <w:r>
        <w:rPr>
          <w:rFonts w:hint="eastAsia" w:ascii="楷体_GB2312" w:hAnsi="楷体" w:eastAsia="楷体_GB2312" w:cs="Arial"/>
          <w:b/>
          <w:sz w:val="32"/>
          <w:szCs w:val="32"/>
          <w:shd w:val="clear" w:color="auto" w:fill="FFFFFF"/>
        </w:rPr>
        <w:t>）毒死蜱</w:t>
      </w:r>
    </w:p>
    <w:p>
      <w:pPr>
        <w:pStyle w:val="17"/>
        <w:spacing w:line="560" w:lineRule="exact"/>
        <w:ind w:firstLine="640"/>
        <w:rPr>
          <w:rFonts w:ascii="仿宋_GB2312" w:hAnsi="仿宋" w:eastAsia="仿宋_GB2312"/>
          <w:sz w:val="32"/>
          <w:szCs w:val="32"/>
        </w:rPr>
      </w:pPr>
      <w:r>
        <w:rPr>
          <w:rFonts w:ascii="仿宋_GB2312" w:hAnsi="仿宋" w:eastAsia="仿宋_GB2312"/>
          <w:sz w:val="32"/>
          <w:szCs w:val="32"/>
        </w:rPr>
        <w:t>毒死蜱是一种具有触杀、胃毒和熏蒸作用的有机磷杀虫剂。《食品安全国家标准 食品中农药最大残留限量》（GB 2763-201</w:t>
      </w:r>
      <w:r>
        <w:rPr>
          <w:rFonts w:hint="eastAsia" w:ascii="仿宋_GB2312" w:hAnsi="仿宋" w:eastAsia="仿宋_GB2312"/>
          <w:sz w:val="32"/>
          <w:szCs w:val="32"/>
        </w:rPr>
        <w:t>9</w:t>
      </w:r>
      <w:r>
        <w:rPr>
          <w:rFonts w:ascii="仿宋_GB2312" w:hAnsi="仿宋" w:eastAsia="仿宋_GB2312"/>
          <w:sz w:val="32"/>
          <w:szCs w:val="32"/>
        </w:rPr>
        <w:t>）中规定</w:t>
      </w:r>
      <w:r>
        <w:rPr>
          <w:rFonts w:hint="eastAsia" w:ascii="仿宋_GB2312" w:hAnsi="仿宋" w:eastAsia="仿宋_GB2312"/>
          <w:sz w:val="32"/>
          <w:szCs w:val="32"/>
        </w:rPr>
        <w:t>，菠菜的</w:t>
      </w:r>
      <w:r>
        <w:rPr>
          <w:rFonts w:ascii="仿宋_GB2312" w:hAnsi="仿宋" w:eastAsia="仿宋_GB2312"/>
          <w:sz w:val="32"/>
          <w:szCs w:val="32"/>
        </w:rPr>
        <w:t>毒死蜱残留限量值</w:t>
      </w:r>
      <w:r>
        <w:rPr>
          <w:rFonts w:hint="eastAsia" w:ascii="仿宋_GB2312" w:hAnsi="仿宋" w:eastAsia="仿宋_GB2312"/>
          <w:sz w:val="32"/>
          <w:szCs w:val="32"/>
        </w:rPr>
        <w:t>≤</w:t>
      </w:r>
      <w:r>
        <w:rPr>
          <w:rFonts w:ascii="仿宋_GB2312" w:hAnsi="仿宋" w:eastAsia="仿宋_GB2312"/>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（七）水分</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楷体" w:eastAsia="楷体_GB2312" w:cs="仿宋_GB2312"/>
          <w:b/>
          <w:kern w:val="2"/>
          <w:sz w:val="32"/>
          <w:szCs w:val="32"/>
          <w:lang w:val="zh-CN" w:eastAsia="zh-CN" w:bidi="ar-SA"/>
        </w:rPr>
        <w:t>（八）糖精钠（以糖精计）</w:t>
      </w:r>
      <w:r>
        <w:rPr>
          <w:rFonts w:ascii="楷体_GB2312" w:hAnsi="宋体" w:eastAsia="楷体_GB2312" w:cs="宋体"/>
          <w:b/>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rPr>
      </w:pPr>
      <w:r>
        <w:rPr>
          <w:rFonts w:hint="eastAsia" w:ascii="仿宋_GB2312" w:hAnsi="宋体" w:eastAsia="仿宋_GB2312" w:cs="宋体"/>
          <w:kern w:val="0"/>
          <w:sz w:val="32"/>
          <w:szCs w:val="32"/>
          <w:lang w:val="zh-CN"/>
        </w:rPr>
        <w:t>糖精钠是食品工业中常用的合成甜味剂。《食品安全国家标准</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lang w:val="zh-CN"/>
        </w:rPr>
        <w:t>食品添加剂使用标准》（GB 2760—2014）中规定，腌渍的蔬菜中糖精钠（以糖精计）应</w:t>
      </w:r>
      <w:r>
        <w:rPr>
          <w:rFonts w:hint="eastAsia" w:ascii="仿宋_GB2312" w:hAnsi="宋体" w:eastAsia="仿宋_GB2312" w:cs="宋体"/>
          <w:kern w:val="0"/>
          <w:sz w:val="32"/>
          <w:szCs w:val="32"/>
        </w:rPr>
        <w:t>≤0.15g/kg</w:t>
      </w:r>
      <w:r>
        <w:rPr>
          <w:rFonts w:hint="eastAsia" w:ascii="仿宋_GB2312" w:hAnsi="宋体" w:eastAsia="仿宋_GB2312" w:cs="宋体"/>
          <w:kern w:val="0"/>
          <w:sz w:val="32"/>
          <w:szCs w:val="32"/>
          <w:lang w:val="zh-CN"/>
        </w:rPr>
        <w:t>。糖精钠对人体无任何营养价值，食用较多的糖精钠，会影响肠胃消化酶的正常分泌，降低小肠的吸收能力，使食欲减退。造成固体饮料中糖精钠超标的原因，可能是企业为增加产品甜味，超限量超范围使用或者未准确计量甜味剂。</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spacing w:line="560" w:lineRule="exact"/>
        <w:rPr>
          <w:rFonts w:ascii="仿宋_GB2312" w:hAnsi="仿宋"/>
          <w:color w:val="auto"/>
          <w:szCs w:val="32"/>
          <w:highlight w:val="none"/>
        </w:rPr>
      </w:pPr>
      <w:r>
        <w:rPr>
          <w:rFonts w:hint="eastAsia" w:ascii="仿宋_GB2312" w:hAnsi="仿宋"/>
          <w:color w:val="auto"/>
          <w:szCs w:val="32"/>
          <w:highlight w:val="none"/>
        </w:rPr>
        <w:t>针对</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环节，</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户应严格按照药物说明书进行规范用药。加大对生产经营人员专业知识的培训，对</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基地、农户进行药物使用知识的培</w:t>
      </w:r>
      <w:bookmarkStart w:id="0" w:name="_GoBack"/>
      <w:bookmarkEnd w:id="0"/>
      <w:r>
        <w:rPr>
          <w:rFonts w:hint="eastAsia" w:ascii="仿宋_GB2312" w:hAnsi="仿宋"/>
          <w:color w:val="auto"/>
          <w:szCs w:val="32"/>
          <w:highlight w:val="none"/>
        </w:rPr>
        <w:t>训力度，加强</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shd w:val="clear" w:color="auto" w:fill="FFFFFF"/>
        <w:spacing w:before="0" w:beforeAutospacing="0" w:after="0" w:afterAutospacing="0" w:line="560" w:lineRule="exact"/>
        <w:ind w:firstLine="642" w:firstLineChars="200"/>
        <w:jc w:val="both"/>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2"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EF1956"/>
    <w:rsid w:val="091C5D20"/>
    <w:rsid w:val="0EA93008"/>
    <w:rsid w:val="1162065F"/>
    <w:rsid w:val="11B32DA0"/>
    <w:rsid w:val="176818BF"/>
    <w:rsid w:val="199008F8"/>
    <w:rsid w:val="1B042E72"/>
    <w:rsid w:val="231A399D"/>
    <w:rsid w:val="249A66FD"/>
    <w:rsid w:val="25D84592"/>
    <w:rsid w:val="274815F0"/>
    <w:rsid w:val="27D171E0"/>
    <w:rsid w:val="2FFC71C6"/>
    <w:rsid w:val="36A26439"/>
    <w:rsid w:val="3E88008E"/>
    <w:rsid w:val="4848609B"/>
    <w:rsid w:val="4B37566A"/>
    <w:rsid w:val="4FED4605"/>
    <w:rsid w:val="52FE47AC"/>
    <w:rsid w:val="533A17A5"/>
    <w:rsid w:val="59E33FF0"/>
    <w:rsid w:val="59EA54F5"/>
    <w:rsid w:val="5E214E94"/>
    <w:rsid w:val="5E7004E1"/>
    <w:rsid w:val="63E10B0C"/>
    <w:rsid w:val="6801069F"/>
    <w:rsid w:val="69130912"/>
    <w:rsid w:val="69CB77D8"/>
    <w:rsid w:val="6A323B2C"/>
    <w:rsid w:val="6ECD36FF"/>
    <w:rsid w:val="72A04A1F"/>
    <w:rsid w:val="72F24D9D"/>
    <w:rsid w:val="738026E3"/>
    <w:rsid w:val="763955BF"/>
    <w:rsid w:val="77FC16E5"/>
    <w:rsid w:val="7B5E04A9"/>
    <w:rsid w:val="7FAD9E07"/>
    <w:rsid w:val="7FFFE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11</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chenkang1</cp:lastModifiedBy>
  <dcterms:modified xsi:type="dcterms:W3CDTF">2022-04-27T14:27:24Z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