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（一）恩诺沙星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恩诺沙星为广谱杀菌药，对支原体有特效，对大肠杆菌、克雷白杆菌、沙门氏菌、变形杆菌、绿脓杆菌、嗜血杆菌、多杀性巴氏杆菌、溶血性巴氏杆菌、金葡菌、链球菌等都有杀菌效果。《食品安全国家标准</w:t>
      </w:r>
      <w:r>
        <w:rPr>
          <w:rFonts w:hint="eastAsia" w:ascii="仿宋_GB2312"/>
          <w:sz w:val="32"/>
          <w:szCs w:val="32"/>
          <w:lang w:val="en-US" w:eastAsia="zh-CN"/>
        </w:rPr>
        <w:t xml:space="preserve"> </w:t>
      </w:r>
      <w:r>
        <w:rPr>
          <w:rFonts w:hint="eastAsia" w:ascii="仿宋_GB2312" w:eastAsia="仿宋_GB2312"/>
          <w:color w:val="auto"/>
          <w:sz w:val="32"/>
          <w:szCs w:val="32"/>
        </w:rPr>
        <w:t>食</w:t>
      </w:r>
      <w:r>
        <w:rPr>
          <w:rFonts w:hint="eastAsia" w:ascii="仿宋_GB2312" w:eastAsia="仿宋_GB2312"/>
          <w:sz w:val="32"/>
          <w:szCs w:val="32"/>
        </w:rPr>
        <w:t>品中兽药最大残留限量》（GB 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（二）水分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w:t>
      </w:r>
      <w:r>
        <w:rPr>
          <w:rFonts w:hint="eastAsia" w:ascii="仿宋_GB2312" w:hAnsi="宋体" w:cs="宋体"/>
          <w:kern w:val="0"/>
          <w:sz w:val="32"/>
          <w:szCs w:val="32"/>
          <w:lang w:eastAsia="zh-CN"/>
        </w:rPr>
        <w:t>方便面</w:t>
      </w:r>
      <w:r>
        <w:rPr>
          <w:rFonts w:hint="eastAsia" w:ascii="仿宋_GB2312" w:hAnsi="宋体" w:eastAsia="仿宋_GB2312" w:cs="宋体"/>
          <w:kern w:val="0"/>
          <w:sz w:val="32"/>
          <w:szCs w:val="32"/>
        </w:rPr>
        <w:t xml:space="preserve">》（GB </w:t>
      </w:r>
      <w:r>
        <w:rPr>
          <w:rFonts w:hint="eastAsia" w:ascii="仿宋_GB2312" w:hAnsi="宋体" w:cs="宋体"/>
          <w:kern w:val="0"/>
          <w:sz w:val="32"/>
          <w:szCs w:val="32"/>
          <w:lang w:val="en-US" w:eastAsia="zh-CN"/>
        </w:rPr>
        <w:t>17400</w:t>
      </w:r>
      <w:r>
        <w:rPr>
          <w:rFonts w:hint="eastAsia" w:ascii="仿宋_GB2312" w:hAnsi="宋体" w:eastAsia="仿宋_GB2312" w:cs="宋体"/>
          <w:kern w:val="0"/>
          <w:sz w:val="32"/>
          <w:szCs w:val="32"/>
        </w:rPr>
        <w:t>-201</w:t>
      </w:r>
      <w:r>
        <w:rPr>
          <w:rFonts w:hint="eastAsia" w:ascii="仿宋_GB2312" w:hAnsi="宋体" w:cs="宋体"/>
          <w:kern w:val="0"/>
          <w:sz w:val="32"/>
          <w:szCs w:val="32"/>
          <w:lang w:val="en-US" w:eastAsia="zh-CN"/>
        </w:rPr>
        <w:t>5</w:t>
      </w:r>
      <w:r>
        <w:rPr>
          <w:rFonts w:hint="eastAsia" w:ascii="仿宋_GB2312" w:hAnsi="宋体" w:eastAsia="仿宋_GB2312" w:cs="宋体"/>
          <w:kern w:val="0"/>
          <w:sz w:val="32"/>
          <w:szCs w:val="32"/>
        </w:rPr>
        <w:t>）中规定，</w:t>
      </w:r>
      <w:r>
        <w:rPr>
          <w:rFonts w:hint="eastAsia" w:ascii="仿宋_GB2312" w:hAnsi="宋体" w:cs="宋体"/>
          <w:kern w:val="0"/>
          <w:sz w:val="32"/>
          <w:szCs w:val="32"/>
          <w:lang w:eastAsia="zh-CN"/>
        </w:rPr>
        <w:t>非油炸面饼</w:t>
      </w:r>
      <w:r>
        <w:rPr>
          <w:rFonts w:hint="eastAsia" w:ascii="仿宋_GB2312" w:hAnsi="宋体" w:eastAsia="仿宋_GB2312" w:cs="宋体"/>
          <w:kern w:val="0"/>
          <w:sz w:val="32"/>
          <w:szCs w:val="32"/>
        </w:rPr>
        <w:t>水分应</w:t>
      </w:r>
      <w:r>
        <w:rPr>
          <w:rFonts w:hint="eastAsia" w:ascii="仿宋_GB2312" w:hAnsi="仿宋" w:eastAsia="仿宋_GB2312"/>
          <w:sz w:val="32"/>
          <w:szCs w:val="32"/>
        </w:rPr>
        <w:t>≤1</w:t>
      </w:r>
      <w:r>
        <w:rPr>
          <w:rFonts w:hint="eastAsia" w:ascii="仿宋_GB2312" w:hAnsi="仿宋"/>
          <w:sz w:val="32"/>
          <w:szCs w:val="32"/>
          <w:lang w:val="en-US" w:eastAsia="zh-CN"/>
        </w:rPr>
        <w:t>4.0</w:t>
      </w:r>
      <w:r>
        <w:rPr>
          <w:rFonts w:hint="eastAsia" w:ascii="仿宋_GB2312" w:hAnsi="仿宋" w:eastAsia="仿宋_GB2312"/>
          <w:sz w:val="32"/>
          <w:szCs w:val="32"/>
        </w:rPr>
        <w:t>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pStyle w:val="2"/>
        <w:keepNext w:val="0"/>
        <w:keepLines w:val="0"/>
        <w:pageBreakBefore w:val="0"/>
        <w:numPr>
          <w:ilvl w:val="0"/>
          <w:numId w:val="1"/>
        </w:numPr>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阿维菌素</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阿维菌素是一种抗生素类杀虫、杀螨、杀线虫剂，具有广谱、高效、低残留等特点。《食品安全国家标准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2763-2019）中规定，阿维菌素在</w:t>
      </w:r>
      <w:r>
        <w:rPr>
          <w:rFonts w:hint="eastAsia" w:ascii="仿宋_GB2312" w:hAnsi="仿宋" w:eastAsia="仿宋_GB2312"/>
          <w:sz w:val="32"/>
          <w:szCs w:val="32"/>
          <w:lang w:val="zh-CN"/>
        </w:rPr>
        <w:t>油麦菜</w:t>
      </w:r>
      <w:r>
        <w:rPr>
          <w:rFonts w:hint="eastAsia" w:ascii="仿宋_GB2312" w:hAnsi="仿宋" w:eastAsia="仿宋_GB2312" w:cs="宋体"/>
          <w:kern w:val="0"/>
          <w:sz w:val="32"/>
          <w:szCs w:val="32"/>
          <w:lang w:val="zh-CN"/>
        </w:rPr>
        <w:t>中的最大残留限量为0.05mg/kg。少量的农药残留不会引起人体急性中毒，但长期食用农药残留超标的食品，对人体健康有一定影响。</w:t>
      </w:r>
    </w:p>
    <w:p>
      <w:pPr>
        <w:pStyle w:val="2"/>
        <w:keepNext w:val="0"/>
        <w:keepLines w:val="0"/>
        <w:pageBreakBefore w:val="0"/>
        <w:numPr>
          <w:ilvl w:val="0"/>
          <w:numId w:val="1"/>
        </w:numPr>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氟苯尼考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31650-2019）中均</w:t>
      </w:r>
      <w:r>
        <w:rPr>
          <w:rFonts w:hint="eastAsia" w:ascii="仿宋_GB2312" w:hAnsi="仿宋" w:eastAsia="仿宋_GB2312" w:cs="仿宋"/>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2" w:firstLineChars="200"/>
        <w:jc w:val="left"/>
        <w:textAlignment w:val="auto"/>
        <w:rPr>
          <w:rFonts w:ascii="楷体_GB2312" w:hAnsi="宋体" w:eastAsia="楷体_GB2312" w:cs="宋体"/>
          <w:b/>
          <w:kern w:val="0"/>
          <w:sz w:val="32"/>
          <w:szCs w:val="32"/>
        </w:rPr>
      </w:pP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过氧化值（以脂肪计）主要反映食品中油脂是否氧化变质。随着油脂氧化，过氧化值会逐步升高，虽一般不会对人体的健康产生损害，但严重时会导致肠胃不适、腹泻等症状。《食品安全国家标准 饼干》（GB 7100</w:t>
      </w:r>
      <w:r>
        <w:rPr>
          <w:rFonts w:hint="eastAsia" w:ascii="仿宋_GB2312" w:hAnsi="仿宋" w:cs="宋体"/>
          <w:color w:val="0000FF"/>
          <w:kern w:val="0"/>
          <w:sz w:val="32"/>
          <w:szCs w:val="32"/>
          <w:lang w:val="en-US" w:eastAsia="zh-CN"/>
        </w:rPr>
        <w:t>-</w:t>
      </w:r>
      <w:r>
        <w:rPr>
          <w:rFonts w:ascii="仿宋_GB2312" w:hAnsi="仿宋" w:eastAsia="仿宋_GB2312" w:cs="宋体"/>
          <w:kern w:val="0"/>
          <w:sz w:val="32"/>
          <w:szCs w:val="32"/>
          <w:lang w:val="zh-CN"/>
        </w:rPr>
        <w:t>2015）中规定，饼干中的过氧化值（以脂肪计）的最大限量值为0.25g/100g。</w:t>
      </w:r>
      <w:r>
        <w:rPr>
          <w:rFonts w:hint="eastAsia" w:ascii="仿宋_GB2312" w:hAnsi="仿宋" w:eastAsia="仿宋_GB2312" w:cs="仿宋"/>
          <w:sz w:val="32"/>
          <w:szCs w:val="32"/>
        </w:rPr>
        <w:t>《食品安全国家标准 腌腊肉制品》（GB 2730-2015）中规定，香（腊）肠的过氧化值(以脂肪计)应≤0.5g/100g。</w:t>
      </w:r>
      <w:r>
        <w:rPr>
          <w:rFonts w:ascii="仿宋_GB2312" w:hAnsi="仿宋" w:eastAsia="仿宋_GB2312" w:cs="宋体"/>
          <w:kern w:val="0"/>
          <w:sz w:val="32"/>
          <w:szCs w:val="32"/>
          <w:lang w:val="zh-CN"/>
        </w:rPr>
        <w:t>过氧化值超标的原因，可能</w:t>
      </w:r>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六</w:t>
      </w:r>
      <w:r>
        <w:rPr>
          <w:rFonts w:hint="eastAsia" w:ascii="楷体_GB2312" w:hAnsi="宋体" w:eastAsia="楷体_GB2312" w:cs="宋体"/>
          <w:b/>
          <w:kern w:val="0"/>
          <w:sz w:val="32"/>
          <w:szCs w:val="32"/>
        </w:rPr>
        <w:t>）酒精度</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酒精度又叫酒度，是酒类的一个重要理化指标，是指在20℃时，100毫升酒中含有乙醇（酒精）的毫升数，即体积（容量）的百分数。《</w:t>
      </w:r>
      <w:r>
        <w:rPr>
          <w:rFonts w:hint="eastAsia" w:ascii="仿宋_GB2312" w:hAnsi="宋体" w:cs="宋体"/>
          <w:kern w:val="0"/>
          <w:sz w:val="32"/>
          <w:szCs w:val="32"/>
          <w:lang w:eastAsia="zh-CN"/>
        </w:rPr>
        <w:t>露酒</w:t>
      </w:r>
      <w:r>
        <w:rPr>
          <w:rFonts w:hint="eastAsia" w:ascii="仿宋_GB2312" w:hAnsi="宋体" w:eastAsia="仿宋_GB2312" w:cs="宋体"/>
          <w:kern w:val="0"/>
          <w:sz w:val="32"/>
          <w:szCs w:val="32"/>
        </w:rPr>
        <w:t xml:space="preserve">》（GB/T </w:t>
      </w:r>
      <w:r>
        <w:rPr>
          <w:rFonts w:hint="eastAsia" w:ascii="仿宋_GB2312" w:hAnsi="宋体" w:cs="宋体"/>
          <w:kern w:val="0"/>
          <w:sz w:val="32"/>
          <w:szCs w:val="32"/>
          <w:lang w:val="en-US" w:eastAsia="zh-CN"/>
        </w:rPr>
        <w:t>27588</w:t>
      </w:r>
      <w:r>
        <w:rPr>
          <w:rFonts w:hint="eastAsia" w:ascii="仿宋_GB2312" w:hAnsi="宋体" w:eastAsia="仿宋_GB2312" w:cs="宋体"/>
          <w:kern w:val="0"/>
          <w:sz w:val="32"/>
          <w:szCs w:val="32"/>
        </w:rPr>
        <w:t>-201</w:t>
      </w:r>
      <w:r>
        <w:rPr>
          <w:rFonts w:hint="eastAsia" w:ascii="仿宋_GB2312" w:hAnsi="宋体" w:cs="宋体"/>
          <w:kern w:val="0"/>
          <w:sz w:val="32"/>
          <w:szCs w:val="32"/>
          <w:lang w:val="en-US" w:eastAsia="zh-CN"/>
        </w:rPr>
        <w:t>1</w:t>
      </w:r>
      <w:r>
        <w:rPr>
          <w:rFonts w:hint="eastAsia" w:ascii="仿宋_GB2312" w:hAnsi="宋体" w:eastAsia="仿宋_GB2312" w:cs="宋体"/>
          <w:kern w:val="0"/>
          <w:sz w:val="32"/>
          <w:szCs w:val="32"/>
        </w:rPr>
        <w:t>）中规定，</w:t>
      </w:r>
      <w:r>
        <w:rPr>
          <w:rFonts w:hint="eastAsia" w:ascii="仿宋_GB2312" w:hAnsi="宋体" w:cs="宋体"/>
          <w:kern w:val="0"/>
          <w:sz w:val="32"/>
          <w:szCs w:val="32"/>
          <w:lang w:eastAsia="zh-CN"/>
        </w:rPr>
        <w:t>露酒</w:t>
      </w:r>
      <w:r>
        <w:rPr>
          <w:rFonts w:hint="eastAsia" w:ascii="仿宋_GB2312" w:hAnsi="宋体" w:eastAsia="仿宋_GB2312" w:cs="宋体"/>
          <w:kern w:val="0"/>
          <w:sz w:val="32"/>
          <w:szCs w:val="32"/>
        </w:rPr>
        <w:t>的实际酒精度应在标示值±1.0%vol的偏差范围内。酒中酒精度不达标会影响酒类的品质及口感，此外由于产品实际酒精度与明示指标不符也可能对消费者构成欺骗行为。</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宋体"/>
          <w:b/>
          <w:color w:val="000000"/>
          <w:kern w:val="0"/>
          <w:sz w:val="32"/>
          <w:szCs w:val="32"/>
          <w:lang w:eastAsia="zh-CN"/>
        </w:rPr>
        <w:t>（七）</w:t>
      </w:r>
      <w:r>
        <w:rPr>
          <w:rFonts w:hint="eastAsia" w:ascii="楷体_GB2312" w:hAnsi="楷体" w:eastAsia="楷体_GB2312" w:cs="宋体"/>
          <w:b/>
          <w:color w:val="000000"/>
          <w:kern w:val="0"/>
          <w:sz w:val="32"/>
          <w:szCs w:val="32"/>
        </w:rPr>
        <w:t>铝的残留量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铝有一定的慢性毒性，摄入铝超标的食品，在体内可造成铝的蓄积，轻者会使食欲减退，引起贫血，重者会表现为神经毒性，使人运动失调、记忆力衰退等。</w:t>
      </w:r>
      <w:r>
        <w:rPr>
          <w:rFonts w:hint="eastAsia" w:ascii="仿宋_GB2312" w:hAnsi="仿宋" w:eastAsia="仿宋_GB2312"/>
          <w:sz w:val="32"/>
          <w:szCs w:val="32"/>
        </w:rPr>
        <w:t>本次不合格样品标签明示</w:t>
      </w:r>
      <w:r>
        <w:rPr>
          <w:rFonts w:hint="eastAsia" w:ascii="仿宋_GB2312" w:hAnsi="仿宋"/>
          <w:color w:val="auto"/>
          <w:sz w:val="32"/>
          <w:szCs w:val="32"/>
          <w:lang w:eastAsia="zh-CN"/>
        </w:rPr>
        <w:t>“加工时不含人工色素和人工添加剂”，但检出一定量的铝残留，易对消费者造成误导。</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八</w:t>
      </w:r>
      <w:r>
        <w:rPr>
          <w:rFonts w:hint="eastAsia" w:ascii="楷体_GB2312" w:hAnsi="楷体" w:eastAsia="楷体_GB2312" w:cs="Arial"/>
          <w:b/>
          <w:sz w:val="32"/>
          <w:szCs w:val="32"/>
          <w:shd w:val="clear" w:color="auto" w:fill="FFFFFF"/>
        </w:rPr>
        <w:t>）氯霉素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
          <w:sz w:val="32"/>
          <w:szCs w:val="32"/>
          <w:shd w:val="clear" w:color="auto" w:fill="FFFFFF"/>
        </w:rPr>
      </w:pPr>
      <w:r>
        <w:rPr>
          <w:rFonts w:hint="eastAsia" w:ascii="仿宋_GB2312" w:hAnsi="仿宋" w:eastAsia="仿宋_GB2312" w:cs="仿宋"/>
          <w:sz w:val="32"/>
          <w:szCs w:val="32"/>
        </w:rPr>
        <w:t>氯霉素一种杀菌剂，也是高效广谱的抗生素，对革兰氏阳性菌和革兰氏阴性菌均有较好的抑制作用。</w:t>
      </w:r>
      <w:r>
        <w:rPr>
          <w:rFonts w:hint="eastAsia" w:ascii="仿宋_GB2312" w:hAnsi="仿宋" w:eastAsia="仿宋_GB2312"/>
          <w:sz w:val="32"/>
          <w:szCs w:val="32"/>
        </w:rPr>
        <w:t>《</w:t>
      </w:r>
      <w:r>
        <w:rPr>
          <w:rFonts w:hint="eastAsia" w:ascii="仿宋_GB2312" w:hAnsi="仿宋" w:eastAsia="仿宋_GB2312"/>
          <w:sz w:val="32"/>
          <w:szCs w:val="32"/>
          <w:lang w:eastAsia="zh-CN"/>
        </w:rPr>
        <w:t>关于印发</w:t>
      </w:r>
      <w:r>
        <w:rPr>
          <w:rFonts w:hint="eastAsia" w:ascii="仿宋_GB2312" w:hAnsi="仿宋" w:eastAsia="仿宋_GB2312"/>
          <w:sz w:val="32"/>
          <w:szCs w:val="32"/>
          <w:lang w:val="en-US" w:eastAsia="zh-CN"/>
        </w:rPr>
        <w:t>&lt;食品中可能违法添加的非食用物质和易滥用的食品添加剂品种名单（第五批）的通知&gt;</w:t>
      </w:r>
      <w:r>
        <w:rPr>
          <w:rFonts w:hint="eastAsia" w:ascii="仿宋_GB2312" w:hAnsi="仿宋" w:eastAsia="仿宋_GB2312"/>
          <w:sz w:val="32"/>
          <w:szCs w:val="32"/>
        </w:rPr>
        <w:t>》中规定，该类药物为禁用兽药</w:t>
      </w:r>
      <w:r>
        <w:rPr>
          <w:rFonts w:ascii="仿宋_GB2312" w:hAnsi="宋体" w:eastAsia="仿宋_GB2312" w:cs="宋体"/>
          <w:kern w:val="0"/>
          <w:sz w:val="32"/>
          <w:szCs w:val="32"/>
        </w:rPr>
        <w:t>，在动物性食品中不得检出。</w:t>
      </w:r>
      <w:r>
        <w:rPr>
          <w:rFonts w:hint="eastAsia" w:ascii="仿宋_GB2312" w:hAnsi="仿宋" w:eastAsia="仿宋_GB2312" w:cs="仿宋"/>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keepNext w:val="0"/>
        <w:keepLines w:val="0"/>
        <w:pageBreakBefore w:val="0"/>
        <w:widowControl/>
        <w:kinsoku/>
        <w:wordWrap/>
        <w:overflowPunct/>
        <w:topLinePunct w:val="0"/>
        <w:autoSpaceDE/>
        <w:autoSpaceDN/>
        <w:bidi w:val="0"/>
        <w:adjustRightInd/>
        <w:snapToGrid/>
        <w:spacing w:line="560" w:lineRule="exact"/>
        <w:ind w:firstLine="629" w:firstLineChars="196"/>
        <w:jc w:val="left"/>
        <w:textAlignment w:val="auto"/>
        <w:rPr>
          <w:rFonts w:ascii="楷体_GB2312" w:hAnsi="宋体" w:eastAsia="楷体_GB2312" w:cs="宋体"/>
          <w:b/>
          <w:kern w:val="0"/>
          <w:sz w:val="32"/>
          <w:szCs w:val="32"/>
        </w:rPr>
      </w:pPr>
      <w:r>
        <w:rPr>
          <w:rFonts w:hint="eastAsia" w:ascii="楷体_GB2312" w:hAnsi="宋体" w:eastAsia="楷体_GB2312" w:cs="宋体"/>
          <w:b/>
          <w:color w:val="auto"/>
          <w:kern w:val="0"/>
          <w:sz w:val="32"/>
          <w:szCs w:val="32"/>
        </w:rPr>
        <w:t>（</w:t>
      </w:r>
      <w:r>
        <w:rPr>
          <w:rFonts w:hint="eastAsia" w:ascii="楷体_GB2312" w:hAnsi="宋体" w:eastAsia="楷体_GB2312" w:cs="宋体"/>
          <w:b/>
          <w:color w:val="auto"/>
          <w:kern w:val="0"/>
          <w:sz w:val="32"/>
          <w:szCs w:val="32"/>
          <w:lang w:eastAsia="zh-CN"/>
        </w:rPr>
        <w:t>九</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多西</w:t>
      </w:r>
      <w:r>
        <w:rPr>
          <w:rFonts w:ascii="楷体_GB2312" w:hAnsi="宋体" w:eastAsia="楷体_GB2312" w:cs="宋体"/>
          <w:b/>
          <w:kern w:val="0"/>
          <w:sz w:val="32"/>
          <w:szCs w:val="32"/>
        </w:rPr>
        <w:t>环素（强力霉素）</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仿宋_GB2312" w:hAnsi="仿宋" w:eastAsia="仿宋_GB2312" w:cs="仿宋"/>
          <w:kern w:val="2"/>
          <w:sz w:val="32"/>
          <w:szCs w:val="32"/>
          <w:lang w:val="zh-CN" w:eastAsia="zh-CN" w:bidi="ar-SA"/>
        </w:rPr>
      </w:pPr>
      <w:r>
        <w:rPr>
          <w:rFonts w:ascii="宋体" w:hAnsi="宋体" w:cs="宋体"/>
          <w:kern w:val="0"/>
          <w:sz w:val="24"/>
          <w:szCs w:val="24"/>
        </w:rPr>
        <w:t> </w:t>
      </w:r>
      <w:r>
        <w:rPr>
          <w:rFonts w:hint="eastAsia" w:ascii="仿宋_GB2312" w:hAnsi="仿宋" w:eastAsia="仿宋_GB2312" w:cs="仿宋"/>
          <w:kern w:val="2"/>
          <w:sz w:val="32"/>
          <w:szCs w:val="32"/>
          <w:lang w:val="en-US" w:eastAsia="zh-CN" w:bidi="ar-SA"/>
        </w:rPr>
        <w:t>多西环素（强力霉素）是一种四环素类药物，一般用于治疗衣原体支原体感染。《食品安全国家标准 食品中兽药最大残留限量》（GB 31650-2019）中规定，多西环素（强力霉素）在禽的肌肉中最高残留限量为100μg/kg，但产蛋期家禽禁用（鸡蛋中不得检出多西环素）。长期食用多西环素（强力霉素）残留超标的食品，可使病原体产生耐药性，对人体健康有一定影响。</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w:t>
      </w:r>
      <w:bookmarkStart w:id="0" w:name="_GoBack"/>
      <w:bookmarkEnd w:id="0"/>
      <w:r>
        <w:rPr>
          <w:rFonts w:hint="default" w:ascii="仿宋_GB2312" w:hAnsi="仿宋"/>
          <w:color w:val="auto"/>
          <w:szCs w:val="32"/>
          <w:highlight w:val="none"/>
          <w:lang w:val="en"/>
        </w:rPr>
        <w:t>种植养殖</w:t>
      </w:r>
      <w:r>
        <w:rPr>
          <w:rFonts w:hint="eastAsia" w:ascii="仿宋_GB2312" w:hAnsi="仿宋"/>
          <w:color w:val="auto"/>
          <w:szCs w:val="32"/>
          <w:highlight w:val="none"/>
        </w:rPr>
        <w:t>环节，</w:t>
      </w:r>
      <w:r>
        <w:rPr>
          <w:rFonts w:hint="default" w:ascii="仿宋_GB2312" w:hAnsi="仿宋"/>
          <w:color w:val="auto"/>
          <w:szCs w:val="32"/>
          <w:highlight w:val="none"/>
          <w:lang w:val="en"/>
        </w:rPr>
        <w:t>种植养殖</w:t>
      </w:r>
      <w:r>
        <w:rPr>
          <w:rFonts w:hint="eastAsia" w:ascii="仿宋_GB2312" w:hAnsi="仿宋"/>
          <w:color w:val="auto"/>
          <w:szCs w:val="32"/>
          <w:highlight w:val="none"/>
        </w:rPr>
        <w:t>户应严格按照药物说明书进行规范用药。加大对生产经营人员专业知识的培训，对</w:t>
      </w:r>
      <w:r>
        <w:rPr>
          <w:rFonts w:hint="default" w:ascii="仿宋_GB2312" w:hAnsi="仿宋"/>
          <w:color w:val="auto"/>
          <w:szCs w:val="32"/>
          <w:highlight w:val="none"/>
          <w:lang w:val="en"/>
        </w:rPr>
        <w:t>种植养殖</w:t>
      </w:r>
      <w:r>
        <w:rPr>
          <w:rFonts w:hint="eastAsia" w:ascii="仿宋_GB2312" w:hAnsi="仿宋"/>
          <w:color w:val="auto"/>
          <w:szCs w:val="32"/>
          <w:highlight w:val="none"/>
        </w:rPr>
        <w:t>基地、农户进行药物使用知识的培训力度，加强</w:t>
      </w:r>
      <w:r>
        <w:rPr>
          <w:rFonts w:hint="default" w:ascii="仿宋_GB2312" w:hAnsi="仿宋"/>
          <w:color w:val="auto"/>
          <w:szCs w:val="32"/>
          <w:highlight w:val="none"/>
          <w:lang w:val="en"/>
        </w:rPr>
        <w:t>种植养殖</w:t>
      </w:r>
      <w:r>
        <w:rPr>
          <w:rFonts w:hint="eastAsia" w:ascii="仿宋_GB2312" w:hAnsi="仿宋"/>
          <w:color w:val="auto"/>
          <w:szCs w:val="32"/>
          <w:highlight w:val="none"/>
        </w:rPr>
        <w:t>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F38CE"/>
    <w:multiLevelType w:val="singleLevel"/>
    <w:tmpl w:val="17EF38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7C82C95"/>
    <w:rsid w:val="091C5D20"/>
    <w:rsid w:val="0CD4225F"/>
    <w:rsid w:val="0EA93008"/>
    <w:rsid w:val="1162065F"/>
    <w:rsid w:val="11B32DA0"/>
    <w:rsid w:val="16396F4B"/>
    <w:rsid w:val="176818BF"/>
    <w:rsid w:val="17FA5E44"/>
    <w:rsid w:val="199008F8"/>
    <w:rsid w:val="1B042E72"/>
    <w:rsid w:val="1C2B3ECE"/>
    <w:rsid w:val="1F456A61"/>
    <w:rsid w:val="200B2815"/>
    <w:rsid w:val="231A399D"/>
    <w:rsid w:val="249A66FD"/>
    <w:rsid w:val="25D84592"/>
    <w:rsid w:val="274815F0"/>
    <w:rsid w:val="27D171E0"/>
    <w:rsid w:val="2DA27B95"/>
    <w:rsid w:val="2FFC71C6"/>
    <w:rsid w:val="323F00BC"/>
    <w:rsid w:val="324700B2"/>
    <w:rsid w:val="36A26439"/>
    <w:rsid w:val="387272BF"/>
    <w:rsid w:val="3E051E67"/>
    <w:rsid w:val="3E88008E"/>
    <w:rsid w:val="3EC80CDE"/>
    <w:rsid w:val="464A4562"/>
    <w:rsid w:val="4848609B"/>
    <w:rsid w:val="4B37566A"/>
    <w:rsid w:val="4EBC0748"/>
    <w:rsid w:val="4FED4605"/>
    <w:rsid w:val="52FE47AC"/>
    <w:rsid w:val="533A17A5"/>
    <w:rsid w:val="59E33FF0"/>
    <w:rsid w:val="59EA54F5"/>
    <w:rsid w:val="5E214E94"/>
    <w:rsid w:val="5E7004E1"/>
    <w:rsid w:val="6048573D"/>
    <w:rsid w:val="62547A4D"/>
    <w:rsid w:val="63E10B0C"/>
    <w:rsid w:val="6792245C"/>
    <w:rsid w:val="6801069F"/>
    <w:rsid w:val="69130912"/>
    <w:rsid w:val="69CB77D8"/>
    <w:rsid w:val="6A323B2C"/>
    <w:rsid w:val="6ECD36FF"/>
    <w:rsid w:val="72A04A1F"/>
    <w:rsid w:val="72F24D9D"/>
    <w:rsid w:val="738026E3"/>
    <w:rsid w:val="75CA36CA"/>
    <w:rsid w:val="763955BF"/>
    <w:rsid w:val="77FC16E5"/>
    <w:rsid w:val="78FE0A2F"/>
    <w:rsid w:val="7B5E04A9"/>
    <w:rsid w:val="BF6DF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8</TotalTime>
  <ScaleCrop>false</ScaleCrop>
  <LinksUpToDate>false</LinksUpToDate>
  <CharactersWithSpaces>4018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chenkang1</cp:lastModifiedBy>
  <dcterms:modified xsi:type="dcterms:W3CDTF">2022-04-27T19:11:25Z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