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bookmarkStart w:id="0" w:name="_GoBack"/>
      <w:bookmarkEnd w:id="0"/>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spacing w:line="560" w:lineRule="exact"/>
        <w:rPr>
          <w:rFonts w:ascii="黑体" w:hAnsi="黑体" w:eastAsia="黑体" w:cs="黑体"/>
          <w:szCs w:val="32"/>
        </w:rPr>
      </w:pPr>
      <w:r>
        <w:rPr>
          <w:rFonts w:hint="eastAsia" w:ascii="黑体" w:hAnsi="黑体" w:eastAsia="黑体" w:cs="黑体"/>
          <w:szCs w:val="32"/>
        </w:rPr>
        <w:t>一、不合格项目小知识</w:t>
      </w:r>
    </w:p>
    <w:p>
      <w:pPr>
        <w:pStyle w:val="4"/>
        <w:spacing w:before="0" w:after="0" w:line="560" w:lineRule="exact"/>
        <w:ind w:firstLine="643"/>
        <w:rPr>
          <w:rFonts w:ascii="楷体_GB2312" w:hAnsi="楷体_GB2312" w:cs="楷体_GB2312"/>
        </w:rPr>
      </w:pPr>
      <w:r>
        <w:rPr>
          <w:rFonts w:hint="eastAsia" w:ascii="楷体_GB2312" w:hAnsi="楷体_GB2312" w:cs="楷体_GB2312"/>
        </w:rPr>
        <w:t>（一）镉</w:t>
      </w:r>
    </w:p>
    <w:p>
      <w:pPr>
        <w:spacing w:line="560" w:lineRule="exact"/>
        <w:rPr>
          <w:rFonts w:ascii="仿宋_GB2312" w:hAnsi="仿宋_GB2312" w:cs="仿宋_GB2312"/>
          <w:color w:val="auto"/>
          <w:highlight w:val="none"/>
        </w:rPr>
      </w:pPr>
      <w:r>
        <w:rPr>
          <w:rFonts w:hint="eastAsia" w:ascii="仿宋_GB2312" w:hAnsi="仿宋_GB2312" w:cs="仿宋_GB2312"/>
          <w:color w:val="auto"/>
          <w:highlight w:val="none"/>
        </w:rPr>
        <w:t>金属镉毒性很低，但其化合物毒性很大。</w:t>
      </w:r>
      <w:r>
        <w:rPr>
          <w:rFonts w:hint="eastAsia" w:ascii="仿宋_GB2312" w:hAnsi="仿宋_GB2312" w:cs="仿宋_GB2312"/>
          <w:color w:val="auto"/>
          <w:szCs w:val="32"/>
          <w:highlight w:val="none"/>
        </w:rPr>
        <w:t>《食品安全国家标准 食品中污染物限量》（GB 2762-2017）</w:t>
      </w:r>
      <w:r>
        <w:rPr>
          <w:rFonts w:hint="eastAsia" w:ascii="仿宋_GB2312" w:hAnsi="仿宋_GB2312" w:cs="仿宋_GB2312"/>
          <w:color w:val="auto"/>
          <w:highlight w:val="none"/>
        </w:rPr>
        <w:t>中规定，辣椒中镉应≤0.05mg/kg。人体的镉中毒主要是通过消化道与呼吸道摄取被镉污染的水、食物、空气而引起的。镉被人体吸收后，在体内形成镉硫蛋白，通过血液到达全身，并有选择性地蓄积于肾、肝中，对肾脏、肝脏产生危害，还容易造成骨质疏松、变形、关节疼痛等一系列症状，如日本富士山县镉中毒事件的“痛痛病”。</w:t>
      </w:r>
    </w:p>
    <w:p>
      <w:pPr>
        <w:pStyle w:val="4"/>
        <w:spacing w:before="0" w:after="0" w:line="560" w:lineRule="exact"/>
        <w:ind w:firstLine="643"/>
        <w:rPr>
          <w:rFonts w:ascii="楷体_GB2312" w:hAnsi="楷体_GB2312" w:cs="楷体_GB2312"/>
          <w:color w:val="auto"/>
          <w:highlight w:val="none"/>
        </w:rPr>
      </w:pPr>
      <w:r>
        <w:rPr>
          <w:rFonts w:hint="eastAsia" w:ascii="楷体_GB2312" w:hAnsi="楷体_GB2312" w:cs="楷体_GB2312"/>
          <w:color w:val="auto"/>
          <w:highlight w:val="none"/>
        </w:rPr>
        <w:t>（二）氯霉素</w:t>
      </w:r>
    </w:p>
    <w:p>
      <w:pPr>
        <w:spacing w:line="560" w:lineRule="exact"/>
        <w:rPr>
          <w:rFonts w:ascii="仿宋_GB2312" w:hAnsi="仿宋_GB2312" w:cs="仿宋_GB2312"/>
          <w:color w:val="auto"/>
          <w:highlight w:val="none"/>
        </w:rPr>
      </w:pPr>
      <w:r>
        <w:rPr>
          <w:rFonts w:hint="eastAsia" w:ascii="仿宋_GB2312" w:hAnsi="仿宋_GB2312" w:cs="仿宋_GB2312"/>
          <w:color w:val="auto"/>
          <w:highlight w:val="none"/>
        </w:rPr>
        <w:t>氯霉素是一种杀菌剂，也是高效广谱的抗生素，对革兰氏阳性菌和革兰氏阴性菌均有较好的抑制作用。</w:t>
      </w:r>
      <w:r>
        <w:rPr>
          <w:rFonts w:hint="eastAsia" w:ascii="仿宋_GB2312" w:hAnsi="仿宋"/>
          <w:color w:val="auto"/>
          <w:szCs w:val="32"/>
          <w:highlight w:val="none"/>
        </w:rPr>
        <w:t>《中华人民共和国农业农村部公共 第250号》中规定，该类药物为禁用兽药</w:t>
      </w:r>
      <w:r>
        <w:rPr>
          <w:rFonts w:ascii="仿宋_GB2312" w:hAnsi="宋体" w:cs="宋体"/>
          <w:color w:val="auto"/>
          <w:kern w:val="0"/>
          <w:szCs w:val="32"/>
          <w:highlight w:val="none"/>
        </w:rPr>
        <w:t>，在动物性食品中不得检出。</w:t>
      </w:r>
      <w:r>
        <w:rPr>
          <w:rFonts w:hint="eastAsia" w:ascii="仿宋_GB2312" w:hAnsi="仿宋_GB2312" w:cs="仿宋_GB2312"/>
          <w:color w:val="auto"/>
          <w:highlight w:val="none"/>
        </w:rPr>
        <w:t>长期食用氯霉素残留超标的食品可能引起肠道菌群失调，导致消化机能紊乱；人体过量摄入氯霉素可引起人肝脏和骨髓造血机能的损害，导致再生障碍性贫血和血小板减少、肝损伤等健康危害。</w:t>
      </w:r>
    </w:p>
    <w:p>
      <w:pPr>
        <w:spacing w:line="560" w:lineRule="exact"/>
        <w:ind w:firstLine="643"/>
        <w:rPr>
          <w:rFonts w:ascii="楷体_GB2312" w:hAnsi="楷体" w:eastAsia="楷体_GB2312" w:cs="楷体"/>
          <w:b/>
          <w:bCs/>
          <w:color w:val="auto"/>
          <w:szCs w:val="32"/>
          <w:highlight w:val="none"/>
          <w:shd w:val="clear" w:color="auto" w:fill="FFFFFF"/>
        </w:rPr>
      </w:pPr>
      <w:r>
        <w:rPr>
          <w:rFonts w:hint="eastAsia" w:ascii="楷体_GB2312" w:hAnsi="楷体" w:eastAsia="楷体_GB2312" w:cs="楷体"/>
          <w:b/>
          <w:bCs/>
          <w:color w:val="auto"/>
          <w:szCs w:val="32"/>
          <w:highlight w:val="none"/>
          <w:shd w:val="clear" w:color="auto" w:fill="FFFFFF"/>
        </w:rPr>
        <w:t>（三）铅</w:t>
      </w:r>
    </w:p>
    <w:p>
      <w:pPr>
        <w:pStyle w:val="2"/>
        <w:spacing w:after="0" w:line="560" w:lineRule="exact"/>
        <w:ind w:left="0" w:leftChars="0" w:firstLine="640"/>
        <w:rPr>
          <w:color w:val="auto"/>
          <w:highlight w:val="none"/>
        </w:rPr>
      </w:pPr>
      <w:r>
        <w:rPr>
          <w:rFonts w:hint="eastAsia" w:ascii="仿宋_GB2312" w:hAnsi="仿宋_GB2312" w:cs="仿宋_GB2312"/>
          <w:color w:val="auto"/>
          <w:sz w:val="32"/>
          <w:szCs w:val="32"/>
          <w:highlight w:val="none"/>
        </w:rPr>
        <w:t>铅是一种能够在生物体内蓄积且排除缓慢的重金属污染物。《食品安全国家标准 食品中污染物限量》（GB 2762—2012）中规定，淀粉制品中的铅应</w:t>
      </w:r>
      <w:r>
        <w:rPr>
          <w:rFonts w:hint="eastAsia" w:ascii="仿宋_GB2312" w:hAnsi="仿宋_GB2312" w:cs="仿宋_GB2312"/>
          <w:color w:val="auto"/>
          <w:highlight w:val="none"/>
        </w:rPr>
        <w:t>≤</w:t>
      </w:r>
      <w:r>
        <w:rPr>
          <w:rFonts w:hint="eastAsia" w:ascii="仿宋_GB2312" w:hAnsi="仿宋_GB2312" w:cs="仿宋_GB2312"/>
          <w:color w:val="auto"/>
          <w:sz w:val="32"/>
          <w:szCs w:val="32"/>
          <w:highlight w:val="none"/>
        </w:rPr>
        <w:t>0.5mg/kg。铅是一种慢性和积累性毒物。若长期或过多摄入铅含量超标的食品，铅会蓄积在体内，可能会影响大脑和神经系统，尤其会对儿童造成智力发育障碍和表现行为异常。重金属铅超标原因主要是环境污染带入原料，说明生产企业对原料把关不严，可能是使用了铅含量超标的原料，也可能是从生产设备迁移入食品的可能。</w:t>
      </w:r>
    </w:p>
    <w:p>
      <w:pPr>
        <w:pStyle w:val="4"/>
        <w:spacing w:before="0" w:after="0" w:line="560" w:lineRule="exact"/>
        <w:ind w:firstLine="643"/>
        <w:rPr>
          <w:color w:val="auto"/>
          <w:highlight w:val="none"/>
        </w:rPr>
      </w:pPr>
      <w:r>
        <w:rPr>
          <w:rFonts w:hint="eastAsia"/>
          <w:color w:val="auto"/>
          <w:highlight w:val="none"/>
        </w:rPr>
        <w:t>（四）乙基麦芽酚</w:t>
      </w:r>
    </w:p>
    <w:p>
      <w:pPr>
        <w:pStyle w:val="8"/>
        <w:widowControl w:val="0"/>
        <w:shd w:val="clear" w:color="auto" w:fill="FFFFFF"/>
        <w:spacing w:before="0" w:beforeAutospacing="0" w:after="0" w:afterAutospacing="0"/>
        <w:ind w:firstLine="640" w:firstLineChars="200"/>
        <w:jc w:val="both"/>
        <w:rPr>
          <w:color w:val="auto"/>
          <w:highlight w:val="none"/>
        </w:rPr>
      </w:pPr>
      <w:r>
        <w:rPr>
          <w:rFonts w:hint="eastAsia" w:ascii="仿宋_GB2312" w:hAnsi="仿宋_GB2312" w:eastAsia="仿宋_GB2312" w:cs="仿宋_GB2312"/>
          <w:color w:val="auto"/>
          <w:kern w:val="2"/>
          <w:sz w:val="32"/>
          <w:szCs w:val="32"/>
          <w:highlight w:val="none"/>
        </w:rPr>
        <w:t>乙基麦芽酚是一种香味增效剂，对食品的香味改善和增强具有显著效果，且能延长食品的储存期。《食品安全国家标准 食品添加剂使用标准》（GB 2760-2014）中规定食用调和油中不得使用乙基麦芽酚。食用植物油中检出微量乙基麦芽酚并不会对人体健康造成伤害，但超范围使用香料提示油品可能存在品质不良或掺杂掺伪的情况。</w:t>
      </w:r>
    </w:p>
    <w:p>
      <w:pPr>
        <w:pStyle w:val="4"/>
        <w:spacing w:before="0" w:after="0" w:line="560" w:lineRule="exact"/>
        <w:ind w:firstLine="643"/>
        <w:rPr>
          <w:rFonts w:ascii="楷体_GB2312" w:hAnsi="楷体_GB2312" w:cs="楷体_GB2312"/>
          <w:color w:val="auto"/>
          <w:highlight w:val="none"/>
        </w:rPr>
      </w:pPr>
      <w:r>
        <w:rPr>
          <w:rFonts w:hint="eastAsia" w:ascii="楷体_GB2312" w:hAnsi="楷体_GB2312" w:cs="楷体_GB2312"/>
          <w:color w:val="auto"/>
          <w:highlight w:val="none"/>
        </w:rPr>
        <w:t>（五）甜蜜素</w:t>
      </w:r>
    </w:p>
    <w:p>
      <w:pPr>
        <w:spacing w:line="560" w:lineRule="exact"/>
        <w:rPr>
          <w:rFonts w:ascii="仿宋_GB2312" w:hAnsi="仿宋_GB2312" w:cs="仿宋_GB2312"/>
          <w:color w:val="auto"/>
          <w:highlight w:val="none"/>
        </w:rPr>
      </w:pPr>
      <w:r>
        <w:rPr>
          <w:rFonts w:hint="eastAsia" w:ascii="仿宋_GB2312" w:hAnsi="仿宋_GB2312" w:cs="仿宋_GB2312"/>
          <w:color w:val="auto"/>
          <w:highlight w:val="none"/>
        </w:rPr>
        <w:t>甜蜜素学名“环已基氨基磺酸钠”，是一种无营养甜味剂，其甜度是蔗糖的30～40倍，常用于酱菜类、调味汁、糕点、配制酒和饮料等食品中。《食品安全国家标准 食品添加剂使用标准》（GB 2760-2014）中规定，凉果中甜蜜素(以环己基氨基磺酸计)应≤8.0g/kg；</w:t>
      </w:r>
      <w:r>
        <w:rPr>
          <w:rFonts w:hint="eastAsia" w:ascii="仿宋_GB2312" w:hAnsi="仿宋"/>
          <w:color w:val="auto"/>
          <w:szCs w:val="32"/>
          <w:highlight w:val="none"/>
        </w:rPr>
        <w:t>腌渍的蔬菜中甜蜜素(以环己基氨基磺酸计）应≤1.0g/kg。</w:t>
      </w:r>
      <w:r>
        <w:rPr>
          <w:rFonts w:hint="eastAsia" w:ascii="仿宋_GB2312" w:hAnsi="仿宋_GB2312" w:cs="仿宋_GB2312"/>
          <w:color w:val="auto"/>
          <w:highlight w:val="none"/>
        </w:rPr>
        <w:t>消费者如果经常食用甜蜜素含量超标的饮料或其他食品，恐会因摄入过量对人体肝脏和神经系统造成危害。</w:t>
      </w:r>
    </w:p>
    <w:p>
      <w:pPr>
        <w:pStyle w:val="4"/>
        <w:spacing w:before="0" w:after="0" w:line="560" w:lineRule="exact"/>
        <w:ind w:firstLine="643"/>
        <w:rPr>
          <w:color w:val="auto"/>
          <w:highlight w:val="none"/>
        </w:rPr>
      </w:pPr>
      <w:r>
        <w:rPr>
          <w:rFonts w:hint="eastAsia"/>
          <w:color w:val="auto"/>
          <w:highlight w:val="none"/>
        </w:rPr>
        <w:t>（六）呋喃唑酮代谢物</w:t>
      </w:r>
    </w:p>
    <w:p>
      <w:pPr>
        <w:spacing w:line="560" w:lineRule="exact"/>
        <w:rPr>
          <w:rFonts w:ascii="仿宋_GB2312" w:hAnsi="仿宋_GB2312" w:cs="仿宋_GB2312"/>
          <w:color w:val="auto"/>
          <w:highlight w:val="none"/>
        </w:rPr>
      </w:pPr>
      <w:r>
        <w:rPr>
          <w:rFonts w:hint="eastAsia" w:ascii="仿宋_GB2312" w:hAnsi="仿宋_GB2312" w:cs="仿宋_GB2312"/>
          <w:color w:val="auto"/>
          <w:highlight w:val="none"/>
        </w:rPr>
        <w:t>硝基呋喃类药物是一种广谱抗生素，对大多数革兰氏阳性菌和革兰氏阴性菌、真菌和原虫等病原体均有杀灭作用。《食品动物中禁止使用的药品及其他化合物清单》（农业农村部公告第250号）中规定，</w:t>
      </w:r>
      <w:r>
        <w:rPr>
          <w:rFonts w:hint="eastAsia" w:ascii="仿宋_GB2312" w:hAnsi="仿宋"/>
          <w:color w:val="auto"/>
          <w:szCs w:val="32"/>
          <w:highlight w:val="none"/>
        </w:rPr>
        <w:t>呋喃唑酮为禁止使用的药物，在动物性食品中不得检出。</w:t>
      </w:r>
      <w:r>
        <w:rPr>
          <w:rFonts w:hint="eastAsia" w:ascii="仿宋_GB2312" w:hAnsi="仿宋_GB2312" w:cs="仿宋_GB2312"/>
          <w:color w:val="auto"/>
          <w:highlight w:val="none"/>
        </w:rPr>
        <w:t>硝基呋喃类药物及其代谢物可引起溶血性贫血、多发性神经炎、眼部损害和急性肝坏死等，会对人体健康产生危害。</w:t>
      </w:r>
    </w:p>
    <w:p>
      <w:pPr>
        <w:pStyle w:val="4"/>
        <w:spacing w:before="0" w:after="0" w:line="560" w:lineRule="exact"/>
        <w:ind w:firstLine="643"/>
        <w:rPr>
          <w:rFonts w:ascii="楷体_GB2312" w:hAnsi="楷体_GB2312" w:cs="楷体_GB2312"/>
          <w:color w:val="auto"/>
          <w:highlight w:val="none"/>
        </w:rPr>
      </w:pPr>
      <w:r>
        <w:rPr>
          <w:rFonts w:hint="eastAsia" w:ascii="楷体_GB2312" w:hAnsi="楷体_GB2312" w:cs="楷体_GB2312"/>
          <w:color w:val="auto"/>
          <w:highlight w:val="none"/>
        </w:rPr>
        <w:t>（七）4-氯苯氧乙酸钠</w:t>
      </w:r>
    </w:p>
    <w:p>
      <w:pPr>
        <w:spacing w:line="560" w:lineRule="exact"/>
        <w:rPr>
          <w:color w:val="auto"/>
          <w:highlight w:val="none"/>
        </w:rPr>
      </w:pPr>
      <w:r>
        <w:rPr>
          <w:rFonts w:hint="eastAsia" w:ascii="仿宋_GB2312" w:hAnsi="仿宋" w:cs="Arial"/>
          <w:color w:val="auto"/>
          <w:szCs w:val="32"/>
          <w:highlight w:val="none"/>
          <w:shd w:val="clear" w:color="auto" w:fill="FFFFFF"/>
        </w:rPr>
        <w:t>4-氯苯氧乙酸钠是一种植物生长调节剂，可以促进植物体内的生物合成和生物转移，不仅可防止落花落果、提高做果率、增进果实生长速度、促进提前成熟，还能达到改善植物品质的目的，同时它还有除草剂的作用。但由于其对人体有一定积累毒性，国家已取消其作为食品添加剂的生产许可申请。</w:t>
      </w:r>
      <w:r>
        <w:rPr>
          <w:rFonts w:hint="eastAsia" w:ascii="仿宋_GB2312" w:hAnsi="仿宋"/>
          <w:color w:val="auto"/>
          <w:szCs w:val="32"/>
          <w:highlight w:val="none"/>
        </w:rPr>
        <w:t>《关于豆芽生产过程中禁止使用6-苄基腺嘌呤等物质的公告》</w:t>
      </w:r>
      <w:r>
        <w:rPr>
          <w:rFonts w:hint="eastAsia" w:ascii="仿宋_GB2312" w:hAnsi="仿宋" w:cs="宋体"/>
          <w:color w:val="auto"/>
          <w:kern w:val="0"/>
          <w:szCs w:val="32"/>
          <w:highlight w:val="none"/>
          <w:lang w:val="zh-CN"/>
        </w:rPr>
        <w:t>(</w:t>
      </w:r>
      <w:r>
        <w:rPr>
          <w:rFonts w:hint="eastAsia" w:ascii="仿宋_GB2312" w:hAnsi="仿宋"/>
          <w:color w:val="auto"/>
          <w:szCs w:val="32"/>
          <w:highlight w:val="none"/>
        </w:rPr>
        <w:t>国家食品药品监督管理总局、农业部、国家卫 生和计划生育委员会公告 2015年第11号</w:t>
      </w:r>
      <w:r>
        <w:rPr>
          <w:rFonts w:hint="eastAsia" w:ascii="仿宋_GB2312" w:hAnsi="仿宋" w:cs="宋体"/>
          <w:color w:val="auto"/>
          <w:kern w:val="0"/>
          <w:szCs w:val="32"/>
          <w:highlight w:val="none"/>
          <w:lang w:val="zh-CN"/>
        </w:rPr>
        <w:t>)</w:t>
      </w:r>
      <w:r>
        <w:rPr>
          <w:rFonts w:hint="eastAsia" w:ascii="仿宋_GB2312" w:hAnsi="仿宋" w:cs="宋体"/>
          <w:color w:val="auto"/>
          <w:szCs w:val="32"/>
          <w:highlight w:val="none"/>
        </w:rPr>
        <w:t>中要求，</w:t>
      </w:r>
      <w:r>
        <w:rPr>
          <w:rFonts w:hint="eastAsia" w:ascii="仿宋_GB2312" w:hAnsi="仿宋" w:cs="Arial"/>
          <w:color w:val="auto"/>
          <w:szCs w:val="32"/>
          <w:highlight w:val="none"/>
          <w:shd w:val="clear" w:color="auto" w:fill="FFFFFF"/>
        </w:rPr>
        <w:t>豆芽中不得检出4-氯苯氧乙酸钠。豆芽作为一种食用量非常大的蔬菜，4-氯苯氧乙酸钠的残留在人体内的累积所产生的有害作用不容忽视。</w:t>
      </w:r>
    </w:p>
    <w:p>
      <w:pPr>
        <w:pStyle w:val="4"/>
        <w:spacing w:before="0" w:after="0" w:line="560" w:lineRule="exact"/>
        <w:ind w:firstLine="643"/>
        <w:rPr>
          <w:rFonts w:ascii="楷体_GB2312" w:hAnsi="楷体_GB2312" w:cs="楷体_GB2312"/>
          <w:color w:val="auto"/>
          <w:highlight w:val="none"/>
        </w:rPr>
      </w:pPr>
      <w:r>
        <w:rPr>
          <w:rFonts w:hint="eastAsia" w:ascii="楷体_GB2312" w:hAnsi="楷体_GB2312" w:cs="楷体_GB2312"/>
          <w:color w:val="auto"/>
          <w:highlight w:val="none"/>
        </w:rPr>
        <w:t>（八）6-苄基腺嘌呤</w:t>
      </w:r>
    </w:p>
    <w:p>
      <w:pPr>
        <w:spacing w:line="560" w:lineRule="exact"/>
        <w:rPr>
          <w:color w:val="auto"/>
          <w:highlight w:val="none"/>
        </w:rPr>
      </w:pPr>
      <w:r>
        <w:rPr>
          <w:rFonts w:hint="eastAsia" w:ascii="仿宋_GB2312" w:hAnsi="仿宋_GB2312" w:cs="仿宋_GB2312"/>
          <w:color w:val="auto"/>
          <w:highlight w:val="none"/>
        </w:rPr>
        <w:t>6-苄基腺嘌呤是植物生长调节剂，属于低毒农药。对种子发芽、细胞分裂有促进作用，且具有抑制胚根生长的生理作用，在豆芽生产中可抑制豆芽生根。原食品药品监管总局、农业部 、国家卫生计生委《关于豆芽生产过程中禁止使用6-苄基腺嘌呤等物质的公告》（2015年第11号）中规定，豆芽中不得检出6-苄基腺嘌呤。6-苄基腺嘌呤的残留会在人体内累积，长期食用会对人体产生续集危害。</w:t>
      </w:r>
    </w:p>
    <w:p>
      <w:pPr>
        <w:spacing w:line="560" w:lineRule="exact"/>
        <w:ind w:firstLine="643"/>
        <w:rPr>
          <w:rFonts w:ascii="仿宋_GB2312" w:hAnsi="仿宋"/>
          <w:b/>
          <w:color w:val="auto"/>
          <w:szCs w:val="32"/>
          <w:highlight w:val="none"/>
        </w:rPr>
      </w:pPr>
      <w:r>
        <w:rPr>
          <w:rFonts w:hint="eastAsia" w:ascii="楷体_GB2312" w:hAnsi="楷体" w:eastAsia="楷体_GB2312" w:cs="仿宋_GB2312"/>
          <w:b/>
          <w:color w:val="auto"/>
          <w:szCs w:val="32"/>
          <w:highlight w:val="none"/>
        </w:rPr>
        <w:t>（九）恩诺沙星</w:t>
      </w:r>
    </w:p>
    <w:p>
      <w:pPr>
        <w:spacing w:line="560" w:lineRule="exact"/>
        <w:ind w:firstLine="563" w:firstLineChars="176"/>
        <w:rPr>
          <w:rFonts w:ascii="仿宋_GB2312" w:hAnsi="仿宋" w:cs="仿宋"/>
          <w:color w:val="auto"/>
          <w:szCs w:val="32"/>
          <w:highlight w:val="none"/>
        </w:rPr>
      </w:pPr>
      <w:r>
        <w:rPr>
          <w:rFonts w:hint="eastAsia" w:ascii="仿宋_GB2312" w:hAnsi="仿宋" w:cs="仿宋"/>
          <w:color w:val="auto"/>
          <w:szCs w:val="32"/>
          <w:highlight w:val="none"/>
        </w:rPr>
        <w:t>恩诺沙星属于氟喹诺酮类药物，是一类人工合成的广谱抗菌药，用于治疗动物的皮肤感染、呼吸道感染等，是动物专属用药。《食品安全国家标准 食品中兽药最大残留限量》（GB 31650-2019）中规定，恩诺沙星（以恩诺沙星和环丙沙星之和计）可用于牛、羊、猪、兔、禽等食用畜禽及其他动物，其他动物的肌肉及脂肪中的恩诺沙星应≤100μg/kg。长期食用恩诺沙星残留超标的食品，对人体健康有一定影响。</w:t>
      </w:r>
    </w:p>
    <w:p>
      <w:pPr>
        <w:spacing w:line="560" w:lineRule="exact"/>
        <w:ind w:firstLine="565" w:firstLineChars="176"/>
        <w:rPr>
          <w:rFonts w:ascii="楷体_GB2312" w:hAnsi="楷体" w:eastAsia="楷体_GB2312" w:cs="楷体"/>
          <w:b/>
          <w:bCs/>
          <w:color w:val="auto"/>
          <w:szCs w:val="32"/>
          <w:highlight w:val="none"/>
          <w:shd w:val="clear" w:color="auto" w:fill="FFFFFF"/>
        </w:rPr>
      </w:pPr>
      <w:r>
        <w:rPr>
          <w:rFonts w:hint="eastAsia" w:ascii="楷体_GB2312" w:hAnsi="楷体" w:eastAsia="楷体_GB2312" w:cs="楷体"/>
          <w:b/>
          <w:bCs/>
          <w:color w:val="auto"/>
          <w:szCs w:val="32"/>
          <w:highlight w:val="none"/>
          <w:shd w:val="clear" w:color="auto" w:fill="FFFFFF"/>
        </w:rPr>
        <w:t>（十）</w:t>
      </w:r>
      <w:r>
        <w:rPr>
          <w:rFonts w:ascii="楷体_GB2312" w:hAnsi="楷体" w:eastAsia="楷体_GB2312" w:cs="楷体"/>
          <w:b/>
          <w:bCs/>
          <w:color w:val="auto"/>
          <w:szCs w:val="32"/>
          <w:highlight w:val="none"/>
          <w:shd w:val="clear" w:color="auto" w:fill="FFFFFF"/>
        </w:rPr>
        <w:t>克百威</w:t>
      </w:r>
    </w:p>
    <w:p>
      <w:pPr>
        <w:spacing w:line="560" w:lineRule="exact"/>
        <w:rPr>
          <w:rFonts w:ascii="仿宋_GB2312" w:hAnsi="仿宋_GB2312" w:cs="仿宋_GB2312"/>
          <w:color w:val="auto"/>
          <w:szCs w:val="32"/>
          <w:highlight w:val="none"/>
        </w:rPr>
      </w:pPr>
      <w:r>
        <w:rPr>
          <w:rFonts w:hint="eastAsia" w:ascii="仿宋_GB2312" w:hAnsi="仿宋_GB2312" w:cs="仿宋_GB2312"/>
          <w:color w:val="auto"/>
          <w:szCs w:val="32"/>
          <w:highlight w:val="none"/>
        </w:rPr>
        <w:t>克百威是一种广谱、高效、低残留、高毒性的氨基甲酸酯类杀虫、杀螨、杀线虫剂，具有内吸、触杀、胃毒作用，并有一定的杀卵作用。《食品安全国家标准食品中农药最大残留限量》（GB 2763-2019）中规定，豆类蔬菜中克百威应</w:t>
      </w:r>
      <w:r>
        <w:rPr>
          <w:rFonts w:hint="eastAsia" w:ascii="仿宋_GB2312" w:hAnsi="仿宋" w:cs="仿宋"/>
          <w:color w:val="auto"/>
          <w:szCs w:val="32"/>
          <w:highlight w:val="none"/>
        </w:rPr>
        <w:t>≤</w:t>
      </w:r>
      <w:r>
        <w:rPr>
          <w:rFonts w:hint="eastAsia" w:ascii="仿宋_GB2312" w:hAnsi="仿宋_GB2312" w:cs="仿宋_GB2312"/>
          <w:color w:val="auto"/>
          <w:szCs w:val="32"/>
          <w:highlight w:val="none"/>
        </w:rPr>
        <w:t>0.02mg/kg。克百威不易降解，容易造成环境污染。少量的农药残留不会引起人体急性中毒，但长期食用农药残留超标的食品，对人体健康有一定影响。</w:t>
      </w:r>
    </w:p>
    <w:p>
      <w:pPr>
        <w:spacing w:line="560" w:lineRule="exact"/>
        <w:ind w:firstLine="643"/>
        <w:rPr>
          <w:rFonts w:ascii="楷体_GB2312" w:hAnsi="楷体" w:eastAsia="楷体_GB2312" w:cs="楷体"/>
          <w:b/>
          <w:bCs/>
          <w:color w:val="auto"/>
          <w:szCs w:val="32"/>
          <w:highlight w:val="none"/>
          <w:shd w:val="clear" w:color="auto" w:fill="FFFFFF"/>
        </w:rPr>
      </w:pPr>
      <w:r>
        <w:rPr>
          <w:rFonts w:hint="eastAsia" w:ascii="楷体_GB2312" w:hAnsi="楷体" w:eastAsia="楷体_GB2312" w:cs="楷体"/>
          <w:b/>
          <w:bCs/>
          <w:color w:val="auto"/>
          <w:szCs w:val="32"/>
          <w:highlight w:val="none"/>
          <w:shd w:val="clear" w:color="auto" w:fill="FFFFFF"/>
        </w:rPr>
        <w:t>（十一）脱氢乙酸及其钠盐</w:t>
      </w:r>
    </w:p>
    <w:p>
      <w:pPr>
        <w:spacing w:line="560" w:lineRule="exact"/>
        <w:rPr>
          <w:rFonts w:ascii="仿宋_GB2312" w:hAnsi="仿宋_GB2312" w:cs="仿宋_GB2312"/>
          <w:color w:val="auto"/>
          <w:highlight w:val="none"/>
        </w:rPr>
      </w:pPr>
      <w:r>
        <w:rPr>
          <w:rFonts w:hint="eastAsia" w:ascii="仿宋_GB2312" w:hAnsi="仿宋_GB2312" w:cs="仿宋_GB2312"/>
          <w:color w:val="auto"/>
          <w:highlight w:val="none"/>
        </w:rPr>
        <w:t>脱氢乙酸及其钠盐作为食品添加剂，广泛用作防腐剂，对霉菌具有较强的抑制作用。《食品安全国家标准 食品添加剂使用标准》（GB 2760—2014）中规定，发酵面制品中不得使用脱氢乙酸及其钠盐。长期大量食用脱氢乙酸及其钠盐超标产品，可能对人体健康产生一定影响。</w:t>
      </w:r>
    </w:p>
    <w:p>
      <w:pPr>
        <w:pStyle w:val="2"/>
        <w:spacing w:after="0" w:line="560" w:lineRule="exact"/>
        <w:ind w:left="0" w:leftChars="0" w:firstLine="643"/>
        <w:rPr>
          <w:rFonts w:ascii="楷体_GB2312" w:hAnsi="楷体" w:eastAsia="楷体_GB2312" w:cs="楷体"/>
          <w:b/>
          <w:bCs/>
          <w:color w:val="auto"/>
          <w:sz w:val="32"/>
          <w:szCs w:val="32"/>
          <w:highlight w:val="none"/>
          <w:shd w:val="clear" w:color="auto" w:fill="FFFFFF"/>
        </w:rPr>
      </w:pPr>
      <w:r>
        <w:rPr>
          <w:rFonts w:hint="eastAsia" w:ascii="楷体_GB2312" w:hAnsi="楷体" w:eastAsia="楷体_GB2312" w:cs="楷体"/>
          <w:b/>
          <w:bCs/>
          <w:color w:val="auto"/>
          <w:sz w:val="32"/>
          <w:szCs w:val="32"/>
          <w:highlight w:val="none"/>
          <w:shd w:val="clear" w:color="auto" w:fill="FFFFFF"/>
        </w:rPr>
        <w:t>（十二）N-二甲基亚硝胺</w:t>
      </w:r>
    </w:p>
    <w:p>
      <w:pPr>
        <w:pStyle w:val="2"/>
        <w:spacing w:after="0" w:line="560" w:lineRule="exact"/>
        <w:ind w:left="0" w:leftChars="0" w:firstLine="640"/>
        <w:rPr>
          <w:rFonts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N-二甲基亚硝胺是N-亚硝胺类化合物的一种，食品中天然存在的N-亚硝胺类化合物含量极微，但其前体物质亚硝酸盐和胺类广泛存在于自然界中，在适宜的条件下可以形成N-亚硝胺类化合物。鱼类特别是海洋鱼类中存在天然胺类物质氧化三甲胺，在氧化三甲胺还原酶、腐败细菌特别是兼性厌氧菌的作用下，氧化三甲胺脱氧被还原成三甲胺，三甲胺是海洋鱼类腐败的恶臭成分，可经亚硝化反应生成亚硝胺。《食品安全国家标准 食品中污染物限量》（GB 2762—2012）中规定，水产制品中N-二甲基亚硝胺的最大限量不高于4.0μg/kg。N-二甲基亚硝胺超标可能由于产品原料腐败所致，反映该食品卫生状况不达标。目前由N-二甲基亚硝胺引起的急性中毒较少，但如果一次或多次摄入含大量N-亚硝基化合物的食物，也可能引起急性中毒，主要症状为头晕、乏力、肝实质病变等。造成N-二甲基亚硝胺不合格原因可能是成品储运不当；腌制、熏、腊等加工方式控制不严；原料带入等。</w:t>
      </w:r>
    </w:p>
    <w:p>
      <w:pPr>
        <w:spacing w:line="560" w:lineRule="exact"/>
        <w:ind w:firstLine="643"/>
        <w:rPr>
          <w:rFonts w:ascii="楷体_GB2312" w:hAnsi="楷体" w:eastAsia="楷体_GB2312" w:cs="仿宋_GB2312"/>
          <w:b/>
          <w:color w:val="auto"/>
          <w:szCs w:val="32"/>
          <w:highlight w:val="none"/>
        </w:rPr>
      </w:pPr>
      <w:r>
        <w:rPr>
          <w:rFonts w:hint="eastAsia" w:ascii="楷体_GB2312" w:hAnsi="楷体" w:eastAsia="楷体_GB2312" w:cs="仿宋_GB2312"/>
          <w:b/>
          <w:color w:val="auto"/>
          <w:szCs w:val="32"/>
          <w:highlight w:val="none"/>
        </w:rPr>
        <w:t>（十三）</w:t>
      </w:r>
      <w:r>
        <w:rPr>
          <w:rFonts w:hint="eastAsia" w:ascii="楷体_GB2312" w:hAnsi="楷体" w:eastAsia="楷体_GB2312" w:cs="宋体"/>
          <w:b/>
          <w:color w:val="auto"/>
          <w:kern w:val="0"/>
          <w:szCs w:val="32"/>
          <w:highlight w:val="none"/>
        </w:rPr>
        <w:t>山梨酸及其钾盐</w:t>
      </w:r>
    </w:p>
    <w:p>
      <w:pPr>
        <w:spacing w:line="560" w:lineRule="exact"/>
        <w:rPr>
          <w:rFonts w:ascii="仿宋_GB2312" w:hAnsi="仿宋"/>
          <w:color w:val="auto"/>
          <w:szCs w:val="32"/>
          <w:highlight w:val="none"/>
        </w:rPr>
      </w:pPr>
      <w:r>
        <w:rPr>
          <w:rFonts w:hint="eastAsia" w:ascii="仿宋_GB2312" w:hAnsi="仿宋"/>
          <w:color w:val="auto"/>
          <w:szCs w:val="32"/>
          <w:highlight w:val="none"/>
        </w:rPr>
        <w:t>山梨酸及山梨酸钾是食品防腐保鲜剂，具有广泛的抑菌效果和防霉性能。《食品安全国家标准 食品添加剂使用标准》（GB 2760-2014）中规定，发酵面制品中不得使用山梨酸及其钾盐。山梨酸可以被人体的代谢系统吸收而迅速分解为二氧化碳和水。长期食用山梨酸不合格的食品，可能会对人体的骨骼生长、肾脏、肝脏健康造成一定影响。</w:t>
      </w:r>
    </w:p>
    <w:p>
      <w:pPr>
        <w:spacing w:line="560" w:lineRule="exact"/>
        <w:ind w:firstLine="643"/>
        <w:rPr>
          <w:rFonts w:ascii="楷体_GB2312" w:hAnsi="楷体" w:eastAsia="楷体_GB2312" w:cs="仿宋_GB2312"/>
          <w:b/>
          <w:color w:val="auto"/>
          <w:szCs w:val="32"/>
          <w:highlight w:val="none"/>
        </w:rPr>
      </w:pPr>
      <w:r>
        <w:rPr>
          <w:rFonts w:hint="eastAsia" w:ascii="楷体_GB2312" w:hAnsi="楷体" w:eastAsia="楷体_GB2312" w:cs="仿宋_GB2312"/>
          <w:b/>
          <w:color w:val="auto"/>
          <w:szCs w:val="32"/>
          <w:highlight w:val="none"/>
        </w:rPr>
        <w:t>(十四)标签</w:t>
      </w:r>
    </w:p>
    <w:p>
      <w:pPr>
        <w:spacing w:line="560" w:lineRule="exact"/>
        <w:outlineLvl w:val="0"/>
        <w:rPr>
          <w:rFonts w:ascii="仿宋_GB2312" w:hAnsi="仿宋_GB2312" w:cs="仿宋_GB2312"/>
          <w:color w:val="auto"/>
          <w:szCs w:val="32"/>
          <w:highlight w:val="none"/>
        </w:rPr>
      </w:pPr>
      <w:r>
        <w:rPr>
          <w:rFonts w:hint="eastAsia" w:ascii="仿宋_GB2312" w:hAnsi="仿宋"/>
          <w:color w:val="auto"/>
          <w:szCs w:val="32"/>
          <w:highlight w:val="none"/>
        </w:rPr>
        <w:t>本次抽检</w:t>
      </w:r>
      <w:r>
        <w:rPr>
          <w:rFonts w:ascii="仿宋_GB2312" w:hAnsi="仿宋"/>
          <w:color w:val="auto"/>
          <w:szCs w:val="32"/>
          <w:highlight w:val="none"/>
        </w:rPr>
        <w:t>发现</w:t>
      </w:r>
      <w:r>
        <w:rPr>
          <w:rFonts w:hint="eastAsia" w:ascii="仿宋_GB2312" w:hAnsi="仿宋"/>
          <w:color w:val="auto"/>
          <w:szCs w:val="32"/>
          <w:highlight w:val="none"/>
        </w:rPr>
        <w:t>部分样品标签不符合《食品安全国家标准 预包装食品标签通则》（</w:t>
      </w:r>
      <w:r>
        <w:rPr>
          <w:rFonts w:ascii="仿宋_GB2312" w:hAnsi="仿宋"/>
          <w:color w:val="auto"/>
          <w:szCs w:val="32"/>
          <w:highlight w:val="none"/>
        </w:rPr>
        <w:t>GB</w:t>
      </w:r>
      <w:r>
        <w:rPr>
          <w:rFonts w:hint="eastAsia" w:ascii="仿宋_GB2312" w:hAnsi="仿宋"/>
          <w:color w:val="auto"/>
          <w:szCs w:val="32"/>
          <w:highlight w:val="none"/>
        </w:rPr>
        <w:t xml:space="preserve"> 7718</w:t>
      </w:r>
      <w:r>
        <w:rPr>
          <w:rFonts w:ascii="仿宋_GB2312" w:hAnsi="仿宋"/>
          <w:color w:val="auto"/>
          <w:szCs w:val="32"/>
          <w:highlight w:val="none"/>
        </w:rPr>
        <w:t>-2011</w:t>
      </w:r>
      <w:r>
        <w:rPr>
          <w:rFonts w:hint="eastAsia" w:ascii="仿宋_GB2312" w:hAnsi="仿宋"/>
          <w:color w:val="auto"/>
          <w:szCs w:val="32"/>
          <w:highlight w:val="none"/>
        </w:rPr>
        <w:t>）和/或《食品安全国家标准 预包装食品营养标签通则》（</w:t>
      </w:r>
      <w:r>
        <w:rPr>
          <w:rFonts w:ascii="仿宋_GB2312" w:hAnsi="仿宋"/>
          <w:color w:val="auto"/>
          <w:szCs w:val="32"/>
          <w:highlight w:val="none"/>
        </w:rPr>
        <w:t>GB</w:t>
      </w:r>
      <w:r>
        <w:rPr>
          <w:rFonts w:hint="eastAsia" w:ascii="仿宋_GB2312" w:hAnsi="仿宋"/>
          <w:color w:val="auto"/>
          <w:szCs w:val="32"/>
          <w:highlight w:val="none"/>
        </w:rPr>
        <w:t xml:space="preserve"> 28050</w:t>
      </w:r>
      <w:r>
        <w:rPr>
          <w:rFonts w:ascii="仿宋_GB2312" w:hAnsi="仿宋"/>
          <w:color w:val="auto"/>
          <w:szCs w:val="32"/>
          <w:highlight w:val="none"/>
        </w:rPr>
        <w:t>-20</w:t>
      </w:r>
      <w:r>
        <w:rPr>
          <w:rFonts w:hint="eastAsia" w:ascii="仿宋_GB2312" w:hAnsi="仿宋"/>
          <w:color w:val="auto"/>
          <w:szCs w:val="32"/>
          <w:highlight w:val="none"/>
        </w:rPr>
        <w:t>11）和/或产品标准的规定。食品标签不合格，虽对人体并无直接的危害，但标签标识不规范、不合理，</w:t>
      </w:r>
      <w:r>
        <w:rPr>
          <w:rFonts w:ascii="仿宋_GB2312" w:hAnsi="仿宋"/>
          <w:color w:val="auto"/>
          <w:szCs w:val="32"/>
          <w:highlight w:val="none"/>
        </w:rPr>
        <w:t>将直接影响消费者对商品的判断和了解</w:t>
      </w:r>
      <w:r>
        <w:rPr>
          <w:rFonts w:hint="eastAsia" w:ascii="仿宋_GB2312" w:hAnsi="仿宋"/>
          <w:color w:val="auto"/>
          <w:szCs w:val="32"/>
          <w:highlight w:val="none"/>
        </w:rPr>
        <w:t>，有误导消费者的风险，导致消费者错误购买，损害消费者的合法权益。</w:t>
      </w:r>
    </w:p>
    <w:p>
      <w:pPr>
        <w:pStyle w:val="8"/>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二、建议</w:t>
      </w:r>
    </w:p>
    <w:p>
      <w:pPr>
        <w:pStyle w:val="8"/>
        <w:shd w:val="clear" w:color="auto" w:fill="FFFFFF"/>
        <w:spacing w:before="0" w:beforeAutospacing="0" w:after="0" w:afterAutospacing="0" w:line="560" w:lineRule="exact"/>
        <w:ind w:firstLine="706" w:firstLineChars="220"/>
        <w:rPr>
          <w:rFonts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（一）加强原辅料的把控</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3"/>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spacing w:line="560" w:lineRule="exact"/>
        <w:rPr>
          <w:rFonts w:ascii="仿宋_GB2312" w:hAnsi="仿宋"/>
          <w:color w:val="auto"/>
          <w:szCs w:val="32"/>
          <w:highlight w:val="none"/>
        </w:rPr>
      </w:pPr>
      <w:r>
        <w:rPr>
          <w:rFonts w:hint="eastAsia" w:ascii="仿宋_GB2312" w:hAnsi="仿宋"/>
          <w:color w:val="auto"/>
          <w:szCs w:val="32"/>
          <w:highlight w:val="none"/>
        </w:rPr>
        <w:t>针对</w:t>
      </w:r>
      <w:r>
        <w:rPr>
          <w:rFonts w:hint="eastAsia" w:ascii="仿宋_GB2312" w:hAnsi="仿宋"/>
          <w:color w:val="auto"/>
          <w:szCs w:val="32"/>
          <w:highlight w:val="none"/>
          <w:lang w:eastAsia="zh-CN"/>
        </w:rPr>
        <w:t>种植养殖</w:t>
      </w:r>
      <w:r>
        <w:rPr>
          <w:rFonts w:hint="eastAsia" w:ascii="仿宋_GB2312" w:hAnsi="仿宋"/>
          <w:color w:val="auto"/>
          <w:szCs w:val="32"/>
          <w:highlight w:val="none"/>
        </w:rPr>
        <w:t>环节，</w:t>
      </w:r>
      <w:r>
        <w:rPr>
          <w:rFonts w:hint="eastAsia" w:ascii="仿宋_GB2312" w:hAnsi="仿宋"/>
          <w:color w:val="auto"/>
          <w:szCs w:val="32"/>
          <w:highlight w:val="none"/>
          <w:lang w:eastAsia="zh-CN"/>
        </w:rPr>
        <w:t>种植养殖</w:t>
      </w:r>
      <w:r>
        <w:rPr>
          <w:rFonts w:hint="eastAsia" w:ascii="仿宋_GB2312" w:hAnsi="仿宋"/>
          <w:color w:val="auto"/>
          <w:szCs w:val="32"/>
          <w:highlight w:val="none"/>
        </w:rPr>
        <w:t>户应严格按照药物说明书进行规范用药。加大对生产经营人员专业知识的培训，对</w:t>
      </w:r>
      <w:r>
        <w:rPr>
          <w:rFonts w:hint="eastAsia" w:ascii="仿宋_GB2312" w:hAnsi="仿宋"/>
          <w:color w:val="auto"/>
          <w:szCs w:val="32"/>
          <w:highlight w:val="none"/>
          <w:lang w:eastAsia="zh-CN"/>
        </w:rPr>
        <w:t>种植养殖</w:t>
      </w:r>
      <w:r>
        <w:rPr>
          <w:rFonts w:hint="eastAsia" w:ascii="仿宋_GB2312" w:hAnsi="仿宋"/>
          <w:color w:val="auto"/>
          <w:szCs w:val="32"/>
          <w:highlight w:val="none"/>
        </w:rPr>
        <w:t>基地、农户进行药物使用知识的培训力度，加强</w:t>
      </w:r>
      <w:r>
        <w:rPr>
          <w:rFonts w:hint="eastAsia" w:ascii="仿宋_GB2312" w:hAnsi="仿宋"/>
          <w:color w:val="auto"/>
          <w:szCs w:val="32"/>
          <w:highlight w:val="none"/>
          <w:lang w:eastAsia="zh-CN"/>
        </w:rPr>
        <w:t>种植养殖</w:t>
      </w:r>
      <w:r>
        <w:rPr>
          <w:rFonts w:hint="eastAsia" w:ascii="仿宋_GB2312" w:hAnsi="仿宋"/>
          <w:color w:val="auto"/>
          <w:szCs w:val="32"/>
          <w:highlight w:val="none"/>
        </w:rPr>
        <w:t>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shd w:val="clear" w:color="auto" w:fill="FFFFFF"/>
        <w:spacing w:before="0" w:beforeAutospacing="0" w:after="0" w:afterAutospacing="0" w:line="560" w:lineRule="exact"/>
        <w:ind w:firstLine="642" w:firstLineChars="200"/>
        <w:rPr>
          <w:rFonts w:ascii="楷体_GB2312" w:hAnsi="楷体" w:eastAsia="楷体_GB2312"/>
          <w:b/>
          <w:sz w:val="32"/>
          <w:szCs w:val="32"/>
        </w:rPr>
      </w:pPr>
      <w:r>
        <w:rPr>
          <w:rFonts w:hint="eastAsia" w:ascii="楷体_GB2312" w:hAnsi="楷体" w:eastAsia="楷体_GB2312"/>
          <w:b/>
          <w:sz w:val="32"/>
          <w:szCs w:val="32"/>
        </w:rPr>
        <w:t>（三）加强食品出厂检验</w:t>
      </w:r>
    </w:p>
    <w:p>
      <w:pPr>
        <w:pStyle w:val="8"/>
        <w:shd w:val="clear" w:color="auto" w:fill="FFFFFF"/>
        <w:spacing w:before="0" w:beforeAutospacing="0" w:after="0" w:afterAutospacing="0" w:line="560" w:lineRule="exact"/>
        <w:ind w:firstLine="640" w:firstLineChars="200"/>
        <w:jc w:val="both"/>
        <w:rPr>
          <w:rFonts w:ascii="黑体" w:hAnsi="黑体" w:eastAsia="黑体" w:cs="仿宋_GB2312"/>
          <w:sz w:val="32"/>
          <w:szCs w:val="32"/>
        </w:rPr>
      </w:pPr>
      <w:r>
        <w:rPr>
          <w:rFonts w:hint="eastAsia" w:eastAsia="仿宋_GB2312"/>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shd w:val="clear" w:color="auto" w:fill="FFFFFF"/>
        <w:spacing w:before="0" w:beforeAutospacing="0" w:after="0" w:afterAutospacing="0" w:line="560" w:lineRule="exact"/>
        <w:ind w:firstLine="642" w:firstLineChars="200"/>
        <w:jc w:val="both"/>
        <w:rPr>
          <w:rStyle w:val="11"/>
          <w:rFonts w:ascii="楷体_GB2312" w:hAnsi="楷体" w:eastAsia="楷体_GB2312"/>
          <w:sz w:val="32"/>
          <w:szCs w:val="32"/>
          <w:highlight w:val="none"/>
        </w:rPr>
      </w:pPr>
      <w:r>
        <w:rPr>
          <w:rStyle w:val="11"/>
          <w:rFonts w:hint="eastAsia" w:ascii="楷体_GB2312" w:hAnsi="楷体" w:eastAsia="楷体_GB2312"/>
          <w:sz w:val="32"/>
          <w:szCs w:val="32"/>
          <w:highlight w:val="none"/>
        </w:rPr>
        <w:t>（四）提高食品添加剂安全使用意识</w:t>
      </w:r>
    </w:p>
    <w:p>
      <w:pPr>
        <w:pStyle w:val="8"/>
        <w:shd w:val="clear" w:color="auto" w:fill="FFFFFF"/>
        <w:spacing w:before="0" w:beforeAutospacing="0" w:after="0" w:afterAutospacing="0"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部分食品生产经营者为了追求经济效益，对食品添加剂过于依赖，但对食品添加剂使用要求却执行不到位。因此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shd w:val="clear" w:color="auto" w:fill="FFFFFF"/>
        <w:spacing w:before="0" w:beforeAutospacing="0" w:after="0" w:afterAutospacing="0" w:line="560" w:lineRule="exact"/>
        <w:ind w:firstLine="642" w:firstLineChars="200"/>
        <w:jc w:val="both"/>
        <w:rPr>
          <w:rStyle w:val="11"/>
          <w:rFonts w:ascii="楷体_GB2312" w:hAnsi="楷体" w:eastAsia="楷体_GB2312"/>
          <w:sz w:val="32"/>
          <w:szCs w:val="32"/>
          <w:highlight w:val="none"/>
        </w:rPr>
      </w:pPr>
      <w:r>
        <w:rPr>
          <w:rStyle w:val="11"/>
          <w:rFonts w:hint="eastAsia" w:ascii="楷体_GB2312" w:hAnsi="楷体" w:eastAsia="楷体_GB2312"/>
          <w:sz w:val="32"/>
          <w:szCs w:val="32"/>
          <w:highlight w:val="none"/>
        </w:rPr>
        <w:t>（五）规范标签标识，加大对公众食品标签的科普力度</w:t>
      </w:r>
    </w:p>
    <w:p>
      <w:pPr>
        <w:pStyle w:val="8"/>
        <w:shd w:val="clear" w:color="auto" w:fill="FFFFFF"/>
        <w:spacing w:before="0" w:beforeAutospacing="0" w:after="0" w:afterAutospacing="0" w:line="560" w:lineRule="exact"/>
        <w:ind w:firstLine="640"/>
        <w:jc w:val="both"/>
        <w:rPr>
          <w:rFonts w:ascii="仿宋_GB2312" w:hAnsi="仿宋" w:eastAsia="仿宋_GB2312"/>
          <w:sz w:val="32"/>
          <w:szCs w:val="32"/>
          <w:highlight w:val="none"/>
        </w:rPr>
      </w:pPr>
      <w:r>
        <w:rPr>
          <w:rFonts w:hint="eastAsia" w:ascii="仿宋_GB2312" w:hAnsi="仿宋" w:eastAsia="仿宋_GB2312"/>
          <w:sz w:val="32"/>
          <w:szCs w:val="32"/>
          <w:highlight w:val="none"/>
        </w:rPr>
        <w:t>食品生产者应严格按照要求规范标签标识，组织标签培训，提高企业标签相关人员的专业水平，同时对下游的经销商的销售方式进行规范。对于标签不合格的情况，建议企业组织相关人员重点对其进行整改。监管部门应加大对公众食品标签相关知识的科普力度。</w:t>
      </w:r>
    </w:p>
    <w:p>
      <w:pPr>
        <w:pStyle w:val="2"/>
        <w:ind w:left="0" w:leftChars="0" w:firstLine="640"/>
        <w:rPr>
          <w:rFonts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0935E1"/>
    <w:rsid w:val="00147CB3"/>
    <w:rsid w:val="00536967"/>
    <w:rsid w:val="00555CBA"/>
    <w:rsid w:val="006B1DCC"/>
    <w:rsid w:val="00724BD2"/>
    <w:rsid w:val="007F727C"/>
    <w:rsid w:val="008D6C99"/>
    <w:rsid w:val="00B96269"/>
    <w:rsid w:val="00B977A2"/>
    <w:rsid w:val="00F14B80"/>
    <w:rsid w:val="00F4321E"/>
    <w:rsid w:val="00F46DEB"/>
    <w:rsid w:val="010D4506"/>
    <w:rsid w:val="0EA93008"/>
    <w:rsid w:val="176818BF"/>
    <w:rsid w:val="199008F8"/>
    <w:rsid w:val="1B042E72"/>
    <w:rsid w:val="1F7B988D"/>
    <w:rsid w:val="231A399D"/>
    <w:rsid w:val="249A66FD"/>
    <w:rsid w:val="274815F0"/>
    <w:rsid w:val="36A26439"/>
    <w:rsid w:val="3E88008E"/>
    <w:rsid w:val="4848609B"/>
    <w:rsid w:val="4AAA5FB2"/>
    <w:rsid w:val="533A17A5"/>
    <w:rsid w:val="59EA54F5"/>
    <w:rsid w:val="5E7004E1"/>
    <w:rsid w:val="63E10B0C"/>
    <w:rsid w:val="6801069F"/>
    <w:rsid w:val="69CB77D8"/>
    <w:rsid w:val="6ECD36FF"/>
    <w:rsid w:val="72F24D9D"/>
    <w:rsid w:val="738026E3"/>
    <w:rsid w:val="763955BF"/>
    <w:rsid w:val="77FC16E5"/>
    <w:rsid w:val="7D68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5"/>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paragraph" w:customStyle="1" w:styleId="12">
    <w:name w:val="本文正文"/>
    <w:basedOn w:val="1"/>
    <w:qFormat/>
    <w:uiPriority w:val="0"/>
    <w:pPr>
      <w:spacing w:line="360" w:lineRule="auto"/>
      <w:ind w:firstLine="803"/>
    </w:pPr>
    <w:rPr>
      <w:rFonts w:ascii="宋体" w:hAnsi="宋体"/>
      <w:sz w:val="24"/>
    </w:rPr>
  </w:style>
  <w:style w:type="character" w:customStyle="1" w:styleId="13">
    <w:name w:val="页眉 字符"/>
    <w:basedOn w:val="10"/>
    <w:link w:val="7"/>
    <w:qFormat/>
    <w:uiPriority w:val="0"/>
    <w:rPr>
      <w:rFonts w:ascii="Calibri" w:hAnsi="Calibri" w:eastAsia="仿宋_GB2312"/>
      <w:kern w:val="2"/>
      <w:sz w:val="18"/>
      <w:szCs w:val="18"/>
    </w:rPr>
  </w:style>
  <w:style w:type="character" w:customStyle="1" w:styleId="14">
    <w:name w:val="页脚 字符"/>
    <w:basedOn w:val="10"/>
    <w:link w:val="6"/>
    <w:qFormat/>
    <w:uiPriority w:val="0"/>
    <w:rPr>
      <w:rFonts w:ascii="Calibri" w:hAnsi="Calibri" w:eastAsia="仿宋_GB2312"/>
      <w:kern w:val="2"/>
      <w:sz w:val="18"/>
      <w:szCs w:val="18"/>
    </w:rPr>
  </w:style>
  <w:style w:type="character" w:customStyle="1" w:styleId="15">
    <w:name w:val="标题 2 字符"/>
    <w:basedOn w:val="10"/>
    <w:link w:val="5"/>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7</Pages>
  <Words>566</Words>
  <Characters>3232</Characters>
  <Lines>26</Lines>
  <Paragraphs>7</Paragraphs>
  <TotalTime>10</TotalTime>
  <ScaleCrop>false</ScaleCrop>
  <LinksUpToDate>false</LinksUpToDate>
  <CharactersWithSpaces>3791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2020-12-28T14:55:00Z</dcterms:created>
  <dc:creator>zhenyongwen</dc:creator>
  <cp:lastModifiedBy>chenkang1</cp:lastModifiedBy>
  <dcterms:modified xsi:type="dcterms:W3CDTF">2022-04-27T19:44:03Z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