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附件</w:t>
      </w:r>
      <w:r>
        <w:rPr>
          <w:rFonts w:hint="eastAsia" w:ascii="仿宋_GB2312" w:hAnsi="仿宋_GB2312" w:eastAsia="仿宋_GB2312" w:cs="仿宋_GB2312"/>
          <w:color w:val="000000"/>
          <w:kern w:val="0"/>
          <w:sz w:val="28"/>
          <w:szCs w:val="28"/>
          <w:lang w:val="en-US" w:eastAsia="zh-CN"/>
        </w:rPr>
        <w:t>2</w:t>
      </w:r>
    </w:p>
    <w:p>
      <w:pPr>
        <w:widowControl/>
        <w:jc w:val="center"/>
        <w:rPr>
          <w:rFonts w:hint="eastAsia" w:asciiTheme="minorEastAsia" w:hAnsiTheme="minorEastAsia" w:eastAsiaTheme="minorEastAsia" w:cstheme="minorEastAsia"/>
          <w:b/>
          <w:bCs/>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rPr>
        <w:t>深圳市</w:t>
      </w:r>
      <w:r>
        <w:rPr>
          <w:rFonts w:hint="eastAsia" w:ascii="方正小标宋简体" w:hAnsi="方正小标宋简体" w:eastAsia="方正小标宋简体" w:cs="方正小标宋简体"/>
          <w:b w:val="0"/>
          <w:bCs w:val="0"/>
          <w:color w:val="000000"/>
          <w:kern w:val="0"/>
          <w:sz w:val="36"/>
          <w:szCs w:val="36"/>
        </w:rPr>
        <w:t>龙华区幼儿园学位类型和积分办法（一）</w:t>
      </w:r>
    </w:p>
    <w:tbl>
      <w:tblPr>
        <w:tblStyle w:val="6"/>
        <w:tblW w:w="15535" w:type="dxa"/>
        <w:tblInd w:w="-81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1455"/>
        <w:gridCol w:w="1785"/>
        <w:gridCol w:w="1005"/>
        <w:gridCol w:w="5140"/>
        <w:gridCol w:w="5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69" w:hRule="atLeast"/>
        </w:trPr>
        <w:tc>
          <w:tcPr>
            <w:tcW w:w="960" w:type="dxa"/>
            <w:vMerge w:val="restart"/>
            <w:tcBorders>
              <w:top w:val="single" w:color="000000"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学位</w:t>
            </w:r>
          </w:p>
          <w:p>
            <w:pPr>
              <w:autoSpaceDE w:val="0"/>
              <w:autoSpaceDN w:val="0"/>
              <w:adjustRightInd w:val="0"/>
              <w:snapToGrid w:val="0"/>
              <w:jc w:val="center"/>
              <w:rPr>
                <w:rFonts w:ascii="黑体" w:hAnsi="华文中宋" w:eastAsia="黑体" w:cs="仿宋_GB2312"/>
                <w:kern w:val="0"/>
                <w:sz w:val="24"/>
                <w:szCs w:val="24"/>
              </w:rPr>
            </w:pPr>
            <w:r>
              <w:rPr>
                <w:rFonts w:hint="eastAsia" w:ascii="黑体" w:hAnsi="华文中宋" w:eastAsia="黑体" w:cs="仿宋_GB2312"/>
                <w:kern w:val="0"/>
                <w:sz w:val="24"/>
                <w:szCs w:val="24"/>
              </w:rPr>
              <w:t>类型</w:t>
            </w:r>
          </w:p>
        </w:tc>
        <w:tc>
          <w:tcPr>
            <w:tcW w:w="145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ascii="仿宋" w:hAnsi="仿宋" w:eastAsia="仿宋" w:cs="Arial"/>
                <w:color w:val="000000"/>
                <w:kern w:val="0"/>
                <w:sz w:val="24"/>
                <w:szCs w:val="24"/>
              </w:rPr>
            </w:pPr>
            <w:r>
              <w:rPr>
                <w:rFonts w:hint="eastAsia" w:ascii="黑体" w:hAnsi="华文中宋" w:eastAsia="黑体" w:cs="仿宋_GB2312"/>
                <w:kern w:val="0"/>
                <w:sz w:val="24"/>
                <w:szCs w:val="24"/>
              </w:rPr>
              <w:t>户籍类型</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tcPr>
          <w:p>
            <w:pPr>
              <w:widowControl/>
              <w:spacing w:line="225" w:lineRule="atLeast"/>
              <w:ind w:firstLine="240" w:firstLineChars="100"/>
              <w:jc w:val="both"/>
              <w:rPr>
                <w:rFonts w:ascii="黑体" w:hAnsi="华文中宋" w:eastAsia="黑体" w:cs="仿宋_GB2312"/>
                <w:kern w:val="0"/>
                <w:sz w:val="24"/>
                <w:szCs w:val="24"/>
              </w:rPr>
            </w:pPr>
            <w:r>
              <w:rPr>
                <w:rFonts w:hint="eastAsia" w:ascii="黑体" w:hAnsi="华文中宋" w:eastAsia="黑体" w:cs="仿宋_GB2312"/>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r>
              <w:rPr>
                <w:rFonts w:hint="eastAsia" w:ascii="黑体" w:hAnsi="华文中宋" w:eastAsia="黑体" w:cs="仿宋_GB2312"/>
                <w:kern w:val="0"/>
                <w:sz w:val="24"/>
                <w:szCs w:val="24"/>
              </w:rPr>
              <w:t>加分</w:t>
            </w:r>
            <w:r>
              <w:rPr>
                <w:rFonts w:hint="eastAsia" w:ascii="黑体" w:hAnsi="华文中宋" w:eastAsia="黑体" w:cs="仿宋_GB2312"/>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59" w:hRule="atLeast"/>
        </w:trPr>
        <w:tc>
          <w:tcPr>
            <w:tcW w:w="960" w:type="dxa"/>
            <w:vMerge w:val="continue"/>
            <w:tcBorders>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kern w:val="0"/>
                <w:sz w:val="24"/>
                <w:szCs w:val="24"/>
              </w:rPr>
            </w:pPr>
          </w:p>
        </w:tc>
        <w:tc>
          <w:tcPr>
            <w:tcW w:w="1455" w:type="dxa"/>
            <w:vMerge w:val="continue"/>
            <w:tcBorders>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rPr>
            </w:pPr>
          </w:p>
        </w:tc>
        <w:tc>
          <w:tcPr>
            <w:tcW w:w="1785" w:type="dxa"/>
            <w:vMerge w:val="continue"/>
            <w:tcBorders>
              <w:left w:val="single" w:color="auto" w:sz="6" w:space="0"/>
              <w:bottom w:val="single" w:color="FFFFFF" w:sz="6" w:space="0"/>
              <w:right w:val="single" w:color="auto" w:sz="6" w:space="0"/>
            </w:tcBorders>
            <w:shd w:val="clear" w:color="auto" w:fill="FFFFFF"/>
            <w:tcMar>
              <w:top w:w="0" w:type="dxa"/>
              <w:left w:w="105" w:type="dxa"/>
              <w:bottom w:w="0" w:type="dxa"/>
              <w:right w:w="105" w:type="dxa"/>
            </w:tcMar>
          </w:tcPr>
          <w:p>
            <w:pPr>
              <w:widowControl/>
              <w:spacing w:line="225" w:lineRule="atLeast"/>
              <w:jc w:val="center"/>
              <w:rPr>
                <w:rFonts w:hint="eastAsia" w:ascii="黑体" w:hAnsi="华文中宋" w:eastAsia="黑体" w:cs="仿宋_GB2312"/>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p>
        </w:tc>
        <w:tc>
          <w:tcPr>
            <w:tcW w:w="5140" w:type="dxa"/>
            <w:tcBorders>
              <w:top w:val="single" w:color="auto" w:sz="4" w:space="0"/>
              <w:left w:val="single" w:color="auto" w:sz="6"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default" w:ascii="黑体" w:hAnsi="华文中宋" w:eastAsia="黑体" w:cs="仿宋_GB2312"/>
                <w:kern w:val="0"/>
                <w:sz w:val="24"/>
                <w:szCs w:val="24"/>
                <w:lang w:val="en-US" w:eastAsia="zh-CN"/>
              </w:rPr>
            </w:pPr>
            <w:r>
              <w:rPr>
                <w:rFonts w:hint="eastAsia" w:ascii="黑体" w:hAnsi="华文中宋" w:eastAsia="黑体" w:cs="仿宋_GB2312"/>
                <w:kern w:val="0"/>
                <w:sz w:val="24"/>
                <w:szCs w:val="24"/>
                <w:lang w:val="en-US"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kern w:val="0"/>
                <w:sz w:val="24"/>
                <w:szCs w:val="24"/>
                <w:lang w:eastAsia="zh-CN"/>
              </w:rPr>
            </w:pPr>
            <w:r>
              <w:rPr>
                <w:rFonts w:hint="eastAsia" w:ascii="黑体" w:hAnsi="华文中宋" w:eastAsia="黑体" w:cs="仿宋_GB2312"/>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rPr>
            </w:pPr>
            <w:r>
              <w:rPr>
                <w:rFonts w:hint="eastAsia" w:ascii="仿宋_GB2312" w:hAnsi="华文中宋" w:eastAsia="仿宋_GB2312" w:cs="仿宋_GB2312"/>
                <w:kern w:val="0"/>
                <w:sz w:val="24"/>
              </w:rPr>
              <w:t>第一类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255" w:lineRule="atLeast"/>
              <w:jc w:val="both"/>
              <w:rPr>
                <w:rFonts w:ascii="仿宋" w:hAnsi="仿宋" w:eastAsia="仿宋" w:cs="Arial"/>
                <w:color w:val="000000"/>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b/>
                <w:color w:val="auto"/>
                <w:kern w:val="0"/>
                <w:sz w:val="28"/>
                <w:szCs w:val="28"/>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内商品房或保障型商品房</w:t>
            </w:r>
          </w:p>
        </w:tc>
        <w:tc>
          <w:tcPr>
            <w:tcW w:w="1005" w:type="dxa"/>
            <w:vMerge w:val="restart"/>
            <w:tcBorders>
              <w:top w:val="single" w:color="000000" w:sz="6" w:space="0"/>
              <w:left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w:t>
            </w:r>
          </w:p>
        </w:tc>
        <w:tc>
          <w:tcPr>
            <w:tcW w:w="5140" w:type="dxa"/>
            <w:vMerge w:val="restart"/>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0.1</w:t>
            </w:r>
            <w:r>
              <w:rPr>
                <w:rFonts w:hint="eastAsia" w:ascii="仿宋_GB2312" w:hAnsi="华文中宋" w:eastAsia="仿宋_GB2312" w:cs="仿宋_GB2312"/>
                <w:kern w:val="0"/>
                <w:sz w:val="24"/>
              </w:rPr>
              <w:t>分。</w:t>
            </w:r>
          </w:p>
          <w:p>
            <w:pPr>
              <w:autoSpaceDE w:val="0"/>
              <w:autoSpaceDN w:val="0"/>
              <w:adjustRightInd w:val="0"/>
              <w:snapToGrid w:val="0"/>
              <w:ind w:firstLine="480" w:firstLineChars="200"/>
              <w:rPr>
                <w:rFonts w:ascii="仿宋_GB2312" w:hAnsi="华文中宋" w:eastAsia="仿宋_GB2312" w:cs="仿宋_GB2312"/>
                <w:kern w:val="0"/>
                <w:sz w:val="24"/>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楷体_GB2312" w:hAnsi="楷体_GB2312" w:eastAsia="楷体_GB2312" w:cs="楷体_GB2312"/>
                <w:b/>
                <w:kern w:val="0"/>
                <w:sz w:val="28"/>
                <w:szCs w:val="28"/>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w:t>
            </w:r>
            <w:r>
              <w:rPr>
                <w:rFonts w:hint="eastAsia" w:ascii="仿宋_GB2312" w:hAnsi="华文中宋" w:eastAsia="仿宋_GB2312" w:cs="仿宋_GB2312"/>
                <w:kern w:val="0"/>
                <w:sz w:val="24"/>
                <w:lang w:eastAsia="zh-CN"/>
              </w:rPr>
              <w:t>入园</w:t>
            </w:r>
            <w:r>
              <w:rPr>
                <w:rFonts w:hint="eastAsia" w:ascii="仿宋_GB2312" w:hAnsi="华文中宋" w:eastAsia="仿宋_GB2312" w:cs="仿宋_GB2312"/>
                <w:kern w:val="0"/>
                <w:sz w:val="24"/>
              </w:rPr>
              <w:t>适龄儿童的父母（或法定监护人）在深圳市缴纳社会保险（</w:t>
            </w:r>
            <w:r>
              <w:rPr>
                <w:rFonts w:hint="eastAsia" w:ascii="仿宋_GB2312" w:hAnsi="华文中宋" w:eastAsia="仿宋_GB2312" w:cs="仿宋_GB2312"/>
                <w:kern w:val="0"/>
                <w:sz w:val="24"/>
                <w:lang w:eastAsia="zh-CN"/>
              </w:rPr>
              <w:t>必须同时购买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785" w:type="dxa"/>
            <w:vMerge w:val="continue"/>
            <w:tcBorders>
              <w:left w:val="single" w:color="auto" w:sz="6" w:space="0"/>
              <w:bottom w:val="single" w:color="000000" w:sz="6" w:space="0"/>
              <w:right w:val="single" w:color="auto" w:sz="6" w:space="0"/>
            </w:tcBorders>
          </w:tcPr>
          <w:p>
            <w:pPr>
              <w:widowControl/>
              <w:jc w:val="left"/>
              <w:rPr>
                <w:rFonts w:ascii="仿宋" w:hAnsi="仿宋" w:eastAsia="仿宋" w:cs="Arial"/>
                <w:color w:val="auto"/>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785" w:type="dxa"/>
            <w:vMerge w:val="restart"/>
            <w:tcBorders>
              <w:top w:val="single" w:color="000000" w:sz="6" w:space="0"/>
              <w:left w:val="single" w:color="auto" w:sz="6" w:space="0"/>
              <w:right w:val="single" w:color="auto" w:sz="6" w:space="0"/>
            </w:tcBorders>
            <w:vAlign w:val="center"/>
          </w:tcPr>
          <w:p>
            <w:pPr>
              <w:widowControl/>
              <w:rPr>
                <w:rFonts w:hint="eastAsia" w:ascii="仿宋" w:hAnsi="仿宋" w:eastAsia="仿宋_GB2312" w:cs="Arial"/>
                <w:color w:val="auto"/>
                <w:kern w:val="0"/>
                <w:sz w:val="24"/>
                <w:lang w:eastAsia="zh-CN"/>
              </w:rPr>
            </w:pPr>
            <w:r>
              <w:rPr>
                <w:rFonts w:hint="eastAsia" w:ascii="仿宋_GB2312" w:hAnsi="仿宋_GB2312" w:eastAsia="仿宋_GB2312" w:cs="仿宋_GB2312"/>
                <w:color w:val="auto"/>
                <w:kern w:val="0"/>
                <w:sz w:val="24"/>
              </w:rPr>
              <w:t>幼儿园所在配套小区</w:t>
            </w:r>
            <w:r>
              <w:rPr>
                <w:rFonts w:hint="eastAsia" w:ascii="仿宋_GB2312" w:hAnsi="华文中宋" w:eastAsia="仿宋_GB2312" w:cs="仿宋_GB2312"/>
                <w:color w:val="auto"/>
                <w:kern w:val="0"/>
                <w:sz w:val="24"/>
              </w:rPr>
              <w:t>内租房或公共租赁房</w:t>
            </w:r>
            <w:r>
              <w:rPr>
                <w:rFonts w:hint="eastAsia" w:ascii="仿宋_GB2312" w:hAnsi="华文中宋" w:eastAsia="仿宋_GB2312" w:cs="仿宋_GB2312"/>
                <w:color w:val="auto"/>
                <w:kern w:val="0"/>
                <w:sz w:val="24"/>
                <w:lang w:eastAsia="zh-CN"/>
              </w:rPr>
              <w:t>、其他类住房</w:t>
            </w: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03" w:hRule="atLeast"/>
        </w:trPr>
        <w:tc>
          <w:tcPr>
            <w:tcW w:w="960"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19" w:hRule="atLeast"/>
        </w:trPr>
        <w:tc>
          <w:tcPr>
            <w:tcW w:w="960"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55"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非深圳户籍</w:t>
            </w:r>
          </w:p>
        </w:tc>
        <w:tc>
          <w:tcPr>
            <w:tcW w:w="1785" w:type="dxa"/>
            <w:vMerge w:val="continue"/>
            <w:tcBorders>
              <w:left w:val="single" w:color="auto" w:sz="6" w:space="0"/>
              <w:right w:val="single" w:color="auto" w:sz="6" w:space="0"/>
            </w:tcBorders>
          </w:tcPr>
          <w:p>
            <w:pPr>
              <w:widowControl/>
              <w:jc w:val="left"/>
              <w:rPr>
                <w:rFonts w:ascii="仿宋" w:hAnsi="仿宋" w:eastAsia="仿宋" w:cs="Arial"/>
                <w:color w:val="000000"/>
                <w:kern w:val="0"/>
                <w:sz w:val="24"/>
              </w:rPr>
            </w:pPr>
          </w:p>
        </w:tc>
        <w:tc>
          <w:tcPr>
            <w:tcW w:w="1005" w:type="dxa"/>
            <w:vMerge w:val="continue"/>
            <w:tcBorders>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40" w:type="dxa"/>
            <w:vMerge w:val="continue"/>
            <w:tcBorders>
              <w:top w:val="single" w:color="000000" w:sz="6" w:space="0"/>
              <w:left w:val="single" w:color="auto" w:sz="6" w:space="0"/>
              <w:bottom w:val="single" w:color="000000" w:sz="6" w:space="0"/>
              <w:right w:val="single" w:color="000000" w:sz="6" w:space="0"/>
            </w:tcBorders>
            <w:vAlign w:val="center"/>
          </w:tcPr>
          <w:p>
            <w:pPr>
              <w:widowControl/>
              <w:jc w:val="left"/>
              <w:rPr>
                <w:rFonts w:ascii="仿宋" w:hAnsi="仿宋" w:eastAsia="仿宋" w:cs="Arial"/>
                <w:color w:val="000000"/>
                <w:kern w:val="0"/>
                <w:sz w:val="24"/>
              </w:rPr>
            </w:pPr>
          </w:p>
        </w:tc>
        <w:tc>
          <w:tcPr>
            <w:tcW w:w="5190" w:type="dxa"/>
            <w:vMerge w:val="continue"/>
            <w:tcBorders>
              <w:left w:val="single" w:color="auto" w:sz="4" w:space="0"/>
              <w:right w:val="single" w:color="000000" w:sz="6" w:space="0"/>
            </w:tcBorders>
            <w:vAlign w:val="center"/>
          </w:tcPr>
          <w:p>
            <w:pPr>
              <w:widowControl/>
              <w:jc w:val="left"/>
              <w:rPr>
                <w:rFonts w:ascii="仿宋" w:hAnsi="仿宋" w:eastAsia="仿宋" w:cs="Arial"/>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34" w:hRule="atLeast"/>
        </w:trPr>
        <w:tc>
          <w:tcPr>
            <w:tcW w:w="15535" w:type="dxa"/>
            <w:gridSpan w:val="6"/>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autoSpaceDE w:val="0"/>
              <w:autoSpaceDN w:val="0"/>
              <w:adjustRightInd w:val="0"/>
              <w:snapToGrid w:val="0"/>
              <w:spacing w:line="560" w:lineRule="exact"/>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kern w:val="0"/>
                <w:sz w:val="24"/>
              </w:rPr>
              <w:t>1．积分办法（一）适用于住宅小区配套幼儿园</w:t>
            </w:r>
            <w:r>
              <w:rPr>
                <w:rFonts w:hint="eastAsia" w:ascii="仿宋_GB2312" w:hAnsi="仿宋_GB2312" w:eastAsia="仿宋_GB2312" w:cs="仿宋_GB2312"/>
                <w:b/>
                <w:bCs/>
                <w:color w:val="auto"/>
                <w:kern w:val="0"/>
                <w:sz w:val="24"/>
                <w:highlight w:val="none"/>
              </w:rPr>
              <w:t>。</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2．以上积分项积分不封顶。</w:t>
            </w:r>
          </w:p>
          <w:p>
            <w:pPr>
              <w:autoSpaceDE w:val="0"/>
              <w:autoSpaceDN w:val="0"/>
              <w:adjustRightInd w:val="0"/>
              <w:snapToGrid w:val="0"/>
              <w:ind w:firstLine="240" w:firstLineChars="100"/>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3．招生系统根据户籍、住房类别和社保等条件自动生成学位类型和积分，学位申请材料经“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”数据资源库后台比对和审核后，其学位类型和积分正式有效。</w:t>
            </w:r>
          </w:p>
          <w:p>
            <w:pPr>
              <w:autoSpaceDE w:val="0"/>
              <w:autoSpaceDN w:val="0"/>
              <w:adjustRightInd w:val="0"/>
              <w:snapToGrid w:val="0"/>
              <w:ind w:firstLine="240" w:firstLineChars="100"/>
              <w:rPr>
                <w:rFonts w:hint="eastAsia" w:ascii="仿宋_GB2312" w:hAnsi="仿宋_GB2312" w:eastAsia="仿宋_GB2312" w:cs="仿宋_GB2312"/>
                <w:b/>
                <w:bCs/>
                <w:kern w:val="0"/>
                <w:sz w:val="24"/>
              </w:rPr>
            </w:pPr>
            <w:r>
              <w:rPr>
                <w:rFonts w:hint="eastAsia" w:ascii="仿宋_GB2312" w:hAnsi="仿宋_GB2312" w:eastAsia="仿宋_GB2312" w:cs="仿宋_GB2312"/>
                <w:b/>
                <w:bCs/>
                <w:color w:val="auto"/>
                <w:kern w:val="0"/>
                <w:sz w:val="24"/>
                <w:highlight w:val="none"/>
              </w:rPr>
              <w:t>4．商品房及安居商品房购房合同</w:t>
            </w:r>
            <w:r>
              <w:rPr>
                <w:rFonts w:hint="eastAsia" w:ascii="仿宋_GB2312" w:hAnsi="仿宋_GB2312" w:eastAsia="仿宋_GB2312" w:cs="仿宋_GB2312"/>
                <w:b/>
                <w:bCs/>
                <w:color w:val="auto"/>
                <w:kern w:val="0"/>
                <w:sz w:val="24"/>
                <w:szCs w:val="24"/>
                <w:highlight w:val="none"/>
                <w:lang w:eastAsia="zh-CN"/>
              </w:rPr>
              <w:t>（未到国土部门备案的购房合同不能申请学位）</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color w:val="000000"/>
                <w:kern w:val="0"/>
                <w:sz w:val="24"/>
              </w:rPr>
              <w:t>房屋租赁信息、其他类住房（自建房、军产房、集资房、</w:t>
            </w:r>
            <w:r>
              <w:rPr>
                <w:rFonts w:hint="eastAsia" w:ascii="仿宋_GB2312" w:hAnsi="仿宋_GB2312" w:eastAsia="仿宋_GB2312" w:cs="仿宋_GB2312"/>
                <w:b/>
                <w:bCs/>
                <w:color w:val="000000"/>
                <w:kern w:val="0"/>
                <w:sz w:val="24"/>
                <w:lang w:eastAsia="zh-CN"/>
              </w:rPr>
              <w:t>小产权房、租房但未办理房屋租赁凭证或房屋租赁信息、</w:t>
            </w:r>
            <w:r>
              <w:rPr>
                <w:rFonts w:hint="eastAsia" w:ascii="仿宋_GB2312" w:hAnsi="仿宋_GB2312" w:eastAsia="仿宋_GB2312" w:cs="仿宋_GB2312"/>
                <w:b/>
                <w:bCs/>
                <w:color w:val="000000"/>
                <w:kern w:val="0"/>
                <w:sz w:val="24"/>
              </w:rPr>
              <w:t>集体宿舍</w:t>
            </w:r>
            <w:r>
              <w:rPr>
                <w:rFonts w:hint="eastAsia" w:ascii="仿宋_GB2312" w:hAnsi="仿宋_GB2312" w:eastAsia="仿宋_GB2312" w:cs="仿宋_GB2312"/>
                <w:b/>
                <w:bCs/>
                <w:color w:val="000000"/>
                <w:kern w:val="0"/>
                <w:sz w:val="24"/>
                <w:lang w:eastAsia="zh-CN"/>
              </w:rPr>
              <w:t>等</w:t>
            </w:r>
            <w:r>
              <w:rPr>
                <w:rFonts w:hint="eastAsia" w:ascii="仿宋_GB2312" w:hAnsi="仿宋_GB2312" w:eastAsia="仿宋_GB2312" w:cs="仿宋_GB2312"/>
                <w:b/>
                <w:bCs/>
                <w:color w:val="000000"/>
                <w:kern w:val="0"/>
                <w:sz w:val="24"/>
              </w:rPr>
              <w:t>）可作为住房材料申请学位，但不参与积分。</w:t>
            </w:r>
          </w:p>
        </w:tc>
      </w:tr>
    </w:tbl>
    <w:p>
      <w:pPr>
        <w:widowControl/>
        <w:jc w:val="center"/>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深圳市龙华区幼儿园学位类型和积分办法（二）</w:t>
      </w:r>
    </w:p>
    <w:tbl>
      <w:tblPr>
        <w:tblStyle w:val="6"/>
        <w:tblW w:w="15550" w:type="dxa"/>
        <w:tblInd w:w="-82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420"/>
        <w:gridCol w:w="1610"/>
        <w:gridCol w:w="1005"/>
        <w:gridCol w:w="5140"/>
        <w:gridCol w:w="51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21" w:hRule="atLeast"/>
        </w:trPr>
        <w:tc>
          <w:tcPr>
            <w:tcW w:w="1185" w:type="dxa"/>
            <w:vMerge w:val="restart"/>
            <w:tcBorders>
              <w:top w:val="single" w:color="000000" w:sz="6" w:space="0"/>
              <w:left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学位</w:t>
            </w:r>
          </w:p>
          <w:p>
            <w:pPr>
              <w:autoSpaceDE w:val="0"/>
              <w:autoSpaceDN w:val="0"/>
              <w:adjustRightInd w:val="0"/>
              <w:snapToGrid w:val="0"/>
              <w:jc w:val="center"/>
              <w:rPr>
                <w:rFonts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类型</w:t>
            </w:r>
          </w:p>
        </w:tc>
        <w:tc>
          <w:tcPr>
            <w:tcW w:w="1420"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ascii="仿宋" w:hAnsi="仿宋" w:eastAsia="仿宋" w:cs="Arial"/>
                <w:b w:val="0"/>
                <w:bCs w:val="0"/>
                <w:color w:val="000000"/>
                <w:kern w:val="0"/>
                <w:sz w:val="22"/>
                <w:szCs w:val="22"/>
              </w:rPr>
            </w:pPr>
            <w:r>
              <w:rPr>
                <w:rFonts w:hint="eastAsia" w:ascii="黑体" w:hAnsi="华文中宋" w:eastAsia="黑体" w:cs="仿宋_GB2312"/>
                <w:b w:val="0"/>
                <w:bCs w:val="0"/>
                <w:kern w:val="0"/>
                <w:sz w:val="24"/>
                <w:szCs w:val="24"/>
              </w:rPr>
              <w:t>户籍类型</w:t>
            </w:r>
          </w:p>
        </w:tc>
        <w:tc>
          <w:tcPr>
            <w:tcW w:w="1610" w:type="dxa"/>
            <w:vMerge w:val="restart"/>
            <w:tcBorders>
              <w:top w:val="single" w:color="000000" w:sz="6" w:space="0"/>
              <w:left w:val="single" w:color="auto" w:sz="6"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p>
            <w:pPr>
              <w:widowControl/>
              <w:spacing w:line="225" w:lineRule="atLeast"/>
              <w:jc w:val="center"/>
              <w:rPr>
                <w:rFonts w:hint="eastAsia" w:ascii="黑体" w:hAnsi="华文中宋" w:eastAsia="黑体" w:cs="仿宋_GB2312"/>
                <w:b w:val="0"/>
                <w:bCs w:val="0"/>
                <w:kern w:val="0"/>
                <w:sz w:val="24"/>
                <w:szCs w:val="24"/>
              </w:rPr>
            </w:pPr>
            <w:r>
              <w:rPr>
                <w:rFonts w:hint="eastAsia" w:ascii="黑体" w:hAnsi="华文中宋" w:eastAsia="黑体" w:cs="仿宋_GB2312"/>
                <w:b w:val="0"/>
                <w:bCs w:val="0"/>
                <w:kern w:val="0"/>
                <w:sz w:val="24"/>
                <w:szCs w:val="24"/>
              </w:rPr>
              <w:t>住房类型</w:t>
            </w:r>
          </w:p>
        </w:tc>
        <w:tc>
          <w:tcPr>
            <w:tcW w:w="1005" w:type="dxa"/>
            <w:vMerge w:val="restart"/>
            <w:tcBorders>
              <w:top w:val="single" w:color="000000" w:sz="6" w:space="0"/>
              <w:left w:val="single" w:color="auto"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highlight w:val="none"/>
                <w:lang w:eastAsia="zh-CN"/>
              </w:rPr>
              <w:t>基础分</w:t>
            </w:r>
          </w:p>
        </w:tc>
        <w:tc>
          <w:tcPr>
            <w:tcW w:w="10330" w:type="dxa"/>
            <w:gridSpan w:val="2"/>
            <w:tcBorders>
              <w:top w:val="single" w:color="000000" w:sz="6" w:space="0"/>
              <w:left w:val="single" w:color="auto" w:sz="6" w:space="0"/>
              <w:bottom w:val="single" w:color="auto" w:sz="4"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rPr>
              <w:t>加分</w:t>
            </w:r>
            <w:r>
              <w:rPr>
                <w:rFonts w:hint="eastAsia" w:ascii="黑体" w:hAnsi="华文中宋" w:eastAsia="黑体" w:cs="仿宋_GB2312"/>
                <w:b w:val="0"/>
                <w:bCs w:val="0"/>
                <w:kern w:val="0"/>
                <w:sz w:val="24"/>
                <w:szCs w:val="24"/>
                <w:lang w:eastAsia="zh-CN"/>
              </w:rPr>
              <w:t>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1185" w:type="dxa"/>
            <w:vMerge w:val="continue"/>
            <w:tcBorders>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黑体" w:hAnsi="华文中宋" w:eastAsia="黑体" w:cs="仿宋_GB2312"/>
                <w:b w:val="0"/>
                <w:bCs w:val="0"/>
                <w:kern w:val="0"/>
                <w:sz w:val="24"/>
                <w:szCs w:val="24"/>
              </w:rPr>
            </w:pPr>
          </w:p>
        </w:tc>
        <w:tc>
          <w:tcPr>
            <w:tcW w:w="1420" w:type="dxa"/>
            <w:vMerge w:val="continue"/>
            <w:tcBorders>
              <w:left w:val="single" w:color="auto"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rPr>
            </w:pPr>
          </w:p>
        </w:tc>
        <w:tc>
          <w:tcPr>
            <w:tcW w:w="1610" w:type="dxa"/>
            <w:vMerge w:val="continue"/>
            <w:tcBorders>
              <w:left w:val="single" w:color="auto" w:sz="6" w:space="0"/>
              <w:bottom w:val="single" w:color="auto" w:sz="4" w:space="0"/>
              <w:right w:val="single" w:color="auto" w:sz="6" w:space="0"/>
            </w:tcBorders>
            <w:shd w:val="clear" w:color="auto" w:fill="FFFFFF"/>
            <w:noWrap w:val="0"/>
            <w:tcMar>
              <w:top w:w="0" w:type="dxa"/>
              <w:left w:w="105" w:type="dxa"/>
              <w:bottom w:w="0" w:type="dxa"/>
              <w:right w:w="105" w:type="dxa"/>
            </w:tcMar>
            <w:vAlign w:val="top"/>
          </w:tcPr>
          <w:p>
            <w:pPr>
              <w:widowControl/>
              <w:spacing w:line="225" w:lineRule="atLeast"/>
              <w:jc w:val="center"/>
              <w:rPr>
                <w:rFonts w:hint="eastAsia" w:ascii="黑体" w:hAnsi="华文中宋" w:eastAsia="黑体" w:cs="仿宋_GB2312"/>
                <w:b w:val="0"/>
                <w:bCs w:val="0"/>
                <w:kern w:val="0"/>
                <w:sz w:val="24"/>
                <w:szCs w:val="24"/>
              </w:rPr>
            </w:pPr>
          </w:p>
        </w:tc>
        <w:tc>
          <w:tcPr>
            <w:tcW w:w="1005" w:type="dxa"/>
            <w:vMerge w:val="continue"/>
            <w:tcBorders>
              <w:left w:val="single" w:color="auto" w:sz="6"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p>
        </w:tc>
        <w:tc>
          <w:tcPr>
            <w:tcW w:w="5140" w:type="dxa"/>
            <w:tcBorders>
              <w:top w:val="single" w:color="auto" w:sz="4" w:space="0"/>
              <w:left w:val="single" w:color="auto" w:sz="6" w:space="0"/>
              <w:bottom w:val="single" w:color="FFFFFF" w:sz="6" w:space="0"/>
              <w:right w:val="single" w:color="auto" w:sz="4"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深户住房、非深户社保</w:t>
            </w:r>
          </w:p>
        </w:tc>
        <w:tc>
          <w:tcPr>
            <w:tcW w:w="5190" w:type="dxa"/>
            <w:tcBorders>
              <w:top w:val="single" w:color="auto" w:sz="4" w:space="0"/>
              <w:left w:val="single" w:color="auto" w:sz="4" w:space="0"/>
              <w:bottom w:val="single" w:color="FFFFFF" w:sz="6" w:space="0"/>
              <w:right w:val="single" w:color="000000" w:sz="6" w:space="0"/>
            </w:tcBorders>
            <w:shd w:val="clear" w:color="auto" w:fill="FFFFFF"/>
            <w:noWrap w:val="0"/>
            <w:tcMar>
              <w:top w:w="0" w:type="dxa"/>
              <w:left w:w="105" w:type="dxa"/>
              <w:bottom w:w="0" w:type="dxa"/>
              <w:right w:w="105" w:type="dxa"/>
            </w:tcMar>
            <w:vAlign w:val="center"/>
          </w:tcPr>
          <w:p>
            <w:pPr>
              <w:widowControl/>
              <w:spacing w:line="225" w:lineRule="atLeast"/>
              <w:jc w:val="center"/>
              <w:rPr>
                <w:rFonts w:hint="eastAsia" w:ascii="黑体" w:hAnsi="华文中宋" w:eastAsia="黑体" w:cs="仿宋_GB2312"/>
                <w:b w:val="0"/>
                <w:bCs w:val="0"/>
                <w:kern w:val="0"/>
                <w:sz w:val="24"/>
                <w:szCs w:val="24"/>
                <w:lang w:eastAsia="zh-CN"/>
              </w:rPr>
            </w:pPr>
            <w:r>
              <w:rPr>
                <w:rFonts w:hint="eastAsia" w:ascii="黑体" w:hAnsi="华文中宋" w:eastAsia="黑体" w:cs="仿宋_GB2312"/>
                <w:b w:val="0"/>
                <w:bCs w:val="0"/>
                <w:kern w:val="0"/>
                <w:sz w:val="24"/>
                <w:szCs w:val="24"/>
                <w:lang w:eastAsia="zh-CN"/>
              </w:rPr>
              <w:t>户籍情况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43"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 w:hAnsi="仿宋" w:eastAsia="仿宋" w:cs="Arial"/>
                <w:color w:val="000000"/>
                <w:kern w:val="0"/>
                <w:sz w:val="24"/>
                <w:szCs w:val="24"/>
              </w:rPr>
            </w:pPr>
            <w:r>
              <w:rPr>
                <w:rFonts w:hint="eastAsia" w:ascii="仿宋_GB2312" w:hAnsi="华文中宋" w:eastAsia="仿宋_GB2312" w:cs="仿宋_GB2312"/>
                <w:kern w:val="0"/>
                <w:sz w:val="24"/>
              </w:rPr>
              <w:t>第一类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widowControl/>
              <w:spacing w:line="255" w:lineRule="atLeast"/>
              <w:jc w:val="left"/>
              <w:rPr>
                <w:rFonts w:ascii="仿宋" w:hAnsi="仿宋" w:eastAsia="仿宋" w:cs="Arial"/>
                <w:color w:val="000000"/>
                <w:kern w:val="0"/>
                <w:sz w:val="24"/>
                <w:szCs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8"/>
                <w:szCs w:val="28"/>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内商品房或原著居民住房或保障型商品房</w:t>
            </w:r>
          </w:p>
        </w:tc>
        <w:tc>
          <w:tcPr>
            <w:tcW w:w="1005"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default" w:ascii="仿宋_GB2312" w:hAnsi="华文中宋" w:eastAsia="仿宋_GB2312" w:cs="仿宋_GB2312"/>
                <w:kern w:val="0"/>
                <w:sz w:val="24"/>
                <w:lang w:val="en-US" w:eastAsia="zh-CN"/>
              </w:rPr>
            </w:pPr>
            <w:r>
              <w:rPr>
                <w:rFonts w:hint="eastAsia" w:ascii="仿宋_GB2312" w:hAnsi="华文中宋" w:eastAsia="仿宋_GB2312" w:cs="仿宋_GB2312"/>
                <w:kern w:val="0"/>
                <w:sz w:val="24"/>
                <w:highlight w:val="none"/>
                <w:lang w:val="en-US" w:eastAsia="zh-CN"/>
              </w:rPr>
              <w:t>60分</w:t>
            </w:r>
          </w:p>
        </w:tc>
        <w:tc>
          <w:tcPr>
            <w:tcW w:w="5140" w:type="dxa"/>
            <w:vMerge w:val="restart"/>
            <w:tcBorders>
              <w:top w:val="single" w:color="000000" w:sz="6" w:space="0"/>
              <w:left w:val="single" w:color="auto" w:sz="4"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autoSpaceDE w:val="0"/>
              <w:autoSpaceDN w:val="0"/>
              <w:adjustRightInd w:val="0"/>
              <w:snapToGrid w:val="0"/>
              <w:ind w:firstLine="480" w:firstLineChars="200"/>
              <w:rPr>
                <w:rFonts w:hint="eastAsia" w:ascii="仿宋_GB2312" w:hAnsi="华文中宋" w:eastAsia="仿宋_GB2312" w:cs="仿宋_GB2312"/>
                <w:kern w:val="0"/>
                <w:sz w:val="24"/>
              </w:rPr>
            </w:pPr>
            <w:r>
              <w:rPr>
                <w:rFonts w:hint="eastAsia" w:ascii="仿宋_GB2312" w:hAnsi="华文中宋" w:eastAsia="仿宋_GB2312" w:cs="仿宋_GB2312"/>
                <w:kern w:val="0"/>
                <w:sz w:val="24"/>
              </w:rPr>
              <w:t>1.父母、祖父母、外祖父母或法定监护人在申请幼儿园学区内</w:t>
            </w:r>
            <w:r>
              <w:rPr>
                <w:rFonts w:hint="eastAsia" w:ascii="仿宋_GB2312" w:hAnsi="华文中宋" w:eastAsia="仿宋_GB2312" w:cs="仿宋_GB2312"/>
                <w:kern w:val="0"/>
                <w:sz w:val="24"/>
                <w:lang w:eastAsia="zh-CN"/>
              </w:rPr>
              <w:t>自</w:t>
            </w:r>
            <w:r>
              <w:rPr>
                <w:rFonts w:hint="eastAsia" w:ascii="仿宋_GB2312" w:hAnsi="华文中宋" w:eastAsia="仿宋_GB2312" w:cs="仿宋_GB2312"/>
                <w:kern w:val="0"/>
                <w:sz w:val="24"/>
              </w:rPr>
              <w:t>购商品房或安居商品房（要求为住宅用途商品房，</w:t>
            </w:r>
            <w:r>
              <w:rPr>
                <w:rFonts w:hint="eastAsia" w:ascii="仿宋_GB2312" w:hAnsi="华文中宋" w:eastAsia="仿宋_GB2312" w:cs="仿宋_GB2312"/>
                <w:kern w:val="0"/>
                <w:sz w:val="24"/>
                <w:lang w:eastAsia="zh-CN"/>
              </w:rPr>
              <w:t>且</w:t>
            </w:r>
            <w:r>
              <w:rPr>
                <w:rFonts w:hint="eastAsia" w:ascii="仿宋_GB2312" w:hAnsi="华文中宋" w:eastAsia="仿宋_GB2312" w:cs="仿宋_GB2312"/>
                <w:kern w:val="0"/>
                <w:sz w:val="24"/>
              </w:rPr>
              <w:t>产权份额在51%以上），按</w:t>
            </w:r>
            <w:r>
              <w:rPr>
                <w:rFonts w:hint="eastAsia" w:ascii="仿宋_GB2312" w:hAnsi="华文中宋" w:eastAsia="仿宋_GB2312" w:cs="仿宋_GB2312"/>
                <w:kern w:val="0"/>
                <w:sz w:val="24"/>
                <w:lang w:eastAsia="zh-CN"/>
              </w:rPr>
              <w:t>取得商品房</w:t>
            </w:r>
            <w:r>
              <w:rPr>
                <w:rFonts w:hint="eastAsia" w:ascii="仿宋_GB2312" w:hAnsi="华文中宋" w:eastAsia="仿宋_GB2312" w:cs="仿宋_GB2312"/>
                <w:kern w:val="0"/>
                <w:sz w:val="24"/>
              </w:rPr>
              <w:t>房产证（</w:t>
            </w:r>
            <w:r>
              <w:rPr>
                <w:rFonts w:hint="eastAsia" w:ascii="仿宋_GB2312" w:hAnsi="华文中宋" w:eastAsia="仿宋_GB2312" w:cs="仿宋_GB2312"/>
                <w:kern w:val="0"/>
                <w:sz w:val="24"/>
                <w:lang w:eastAsia="zh-CN"/>
              </w:rPr>
              <w:t>或商品房</w:t>
            </w:r>
            <w:r>
              <w:rPr>
                <w:rFonts w:hint="eastAsia" w:ascii="仿宋_GB2312" w:hAnsi="华文中宋" w:eastAsia="仿宋_GB2312" w:cs="仿宋_GB2312"/>
                <w:kern w:val="0"/>
                <w:sz w:val="24"/>
              </w:rPr>
              <w:t>不动产权证）</w:t>
            </w:r>
            <w:r>
              <w:rPr>
                <w:rFonts w:hint="eastAsia" w:ascii="仿宋_GB2312" w:hAnsi="华文中宋" w:eastAsia="仿宋_GB2312" w:cs="仿宋_GB2312"/>
                <w:kern w:val="0"/>
                <w:sz w:val="24"/>
                <w:lang w:eastAsia="zh-CN"/>
              </w:rPr>
              <w:t>上购买日期</w:t>
            </w:r>
            <w:r>
              <w:rPr>
                <w:rFonts w:hint="eastAsia" w:ascii="仿宋_GB2312" w:hAnsi="华文中宋" w:eastAsia="仿宋_GB2312" w:cs="仿宋_GB2312"/>
                <w:kern w:val="0"/>
                <w:sz w:val="24"/>
              </w:rPr>
              <w:t>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2.父母、祖父母、外祖父母或法定监护人在申请幼儿园学区内租房且能提供房屋租赁部门发放的《房屋租赁凭证》（或公共租赁房合同），按</w:t>
            </w:r>
            <w:r>
              <w:rPr>
                <w:rFonts w:hint="eastAsia" w:ascii="仿宋_GB2312" w:hAnsi="华文中宋" w:eastAsia="仿宋_GB2312" w:cs="仿宋_GB2312"/>
                <w:kern w:val="0"/>
                <w:sz w:val="24"/>
                <w:lang w:eastAsia="zh-CN"/>
              </w:rPr>
              <w:t>《房屋租赁凭证》</w:t>
            </w:r>
            <w:r>
              <w:rPr>
                <w:rFonts w:hint="eastAsia" w:ascii="仿宋_GB2312" w:hAnsi="华文中宋" w:eastAsia="仿宋_GB2312" w:cs="仿宋_GB2312"/>
                <w:kern w:val="0"/>
                <w:sz w:val="24"/>
              </w:rPr>
              <w:t>（或公共租赁房合同）</w:t>
            </w:r>
            <w:r>
              <w:rPr>
                <w:rFonts w:hint="eastAsia" w:ascii="仿宋_GB2312" w:hAnsi="华文中宋" w:eastAsia="仿宋_GB2312" w:cs="仿宋_GB2312"/>
                <w:kern w:val="0"/>
                <w:sz w:val="24"/>
                <w:lang w:eastAsia="zh-CN"/>
              </w:rPr>
              <w:t>签发</w:t>
            </w:r>
            <w:r>
              <w:rPr>
                <w:rFonts w:hint="eastAsia" w:ascii="仿宋_GB2312" w:hAnsi="华文中宋" w:eastAsia="仿宋_GB2312" w:cs="仿宋_GB2312"/>
                <w:kern w:val="0"/>
                <w:sz w:val="24"/>
              </w:rPr>
              <w:t>日期每满1个月</w:t>
            </w:r>
            <w:r>
              <w:rPr>
                <w:rFonts w:hint="eastAsia" w:ascii="仿宋_GB2312" w:hAnsi="华文中宋" w:eastAsia="仿宋_GB2312" w:cs="仿宋_GB2312"/>
                <w:kern w:val="0"/>
                <w:sz w:val="24"/>
                <w:lang w:eastAsia="zh-CN"/>
              </w:rPr>
              <w:t>加</w:t>
            </w:r>
            <w:r>
              <w:rPr>
                <w:rFonts w:hint="eastAsia" w:ascii="仿宋_GB2312" w:hAnsi="华文中宋" w:eastAsia="仿宋_GB2312" w:cs="仿宋_GB2312"/>
                <w:kern w:val="0"/>
                <w:sz w:val="24"/>
                <w:lang w:val="en-US" w:eastAsia="zh-CN"/>
              </w:rPr>
              <w:t>0.</w:t>
            </w:r>
            <w:r>
              <w:rPr>
                <w:rFonts w:hint="eastAsia" w:ascii="仿宋_GB2312" w:hAnsi="华文中宋" w:eastAsia="仿宋_GB2312" w:cs="仿宋_GB2312"/>
                <w:kern w:val="0"/>
                <w:sz w:val="24"/>
              </w:rPr>
              <w:t>1分</w:t>
            </w:r>
            <w:r>
              <w:rPr>
                <w:rFonts w:hint="eastAsia" w:ascii="仿宋_GB2312" w:hAnsi="华文中宋" w:eastAsia="仿宋_GB2312" w:cs="仿宋_GB2312"/>
                <w:kern w:val="0"/>
                <w:sz w:val="24"/>
                <w:lang w:eastAsia="zh-CN"/>
              </w:rPr>
              <w:t>。其他类住房不加分。</w:t>
            </w:r>
          </w:p>
          <w:p>
            <w:pPr>
              <w:autoSpaceDE w:val="0"/>
              <w:autoSpaceDN w:val="0"/>
              <w:adjustRightInd w:val="0"/>
              <w:snapToGrid w:val="0"/>
              <w:rPr>
                <w:rFonts w:hint="eastAsia" w:ascii="仿宋_GB2312" w:hAnsi="华文中宋" w:eastAsia="仿宋_GB2312" w:cs="仿宋_GB2312"/>
                <w:kern w:val="0"/>
                <w:sz w:val="24"/>
              </w:rPr>
            </w:pPr>
          </w:p>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非深圳户籍：</w:t>
            </w:r>
          </w:p>
          <w:p>
            <w:pPr>
              <w:autoSpaceDE w:val="0"/>
              <w:autoSpaceDN w:val="0"/>
              <w:adjustRightInd w:val="0"/>
              <w:snapToGrid w:val="0"/>
              <w:ind w:firstLine="480" w:firstLineChars="200"/>
              <w:rPr>
                <w:rFonts w:hint="eastAsia" w:ascii="仿宋_GB2312" w:hAnsi="华文中宋" w:eastAsia="仿宋_GB2312" w:cs="仿宋_GB2312"/>
                <w:kern w:val="0"/>
                <w:sz w:val="24"/>
                <w:lang w:eastAsia="zh-CN"/>
              </w:rPr>
            </w:pPr>
            <w:r>
              <w:rPr>
                <w:rFonts w:hint="eastAsia" w:ascii="仿宋_GB2312" w:hAnsi="华文中宋" w:eastAsia="仿宋_GB2312" w:cs="仿宋_GB2312"/>
                <w:kern w:val="0"/>
                <w:sz w:val="24"/>
              </w:rPr>
              <w:t>按照申请适龄儿童的父母（或法定监护人）在深圳市缴纳社会保险（必须</w:t>
            </w:r>
            <w:r>
              <w:rPr>
                <w:rFonts w:hint="eastAsia" w:ascii="仿宋_GB2312" w:hAnsi="华文中宋" w:eastAsia="仿宋_GB2312" w:cs="仿宋_GB2312"/>
                <w:kern w:val="0"/>
                <w:sz w:val="24"/>
                <w:lang w:eastAsia="zh-CN"/>
              </w:rPr>
              <w:t>同时购买</w:t>
            </w:r>
            <w:r>
              <w:rPr>
                <w:rFonts w:hint="eastAsia" w:ascii="仿宋_GB2312" w:hAnsi="华文中宋" w:eastAsia="仿宋_GB2312" w:cs="仿宋_GB2312"/>
                <w:kern w:val="0"/>
                <w:sz w:val="24"/>
              </w:rPr>
              <w:t>养老保险和医疗保险</w:t>
            </w:r>
            <w:r>
              <w:rPr>
                <w:rFonts w:hint="eastAsia" w:ascii="仿宋_GB2312" w:hAnsi="华文中宋" w:eastAsia="仿宋_GB2312" w:cs="仿宋_GB2312"/>
                <w:kern w:val="0"/>
                <w:sz w:val="24"/>
                <w:lang w:eastAsia="zh-CN"/>
              </w:rPr>
              <w:t>两个险种</w:t>
            </w:r>
            <w:r>
              <w:rPr>
                <w:rFonts w:hint="eastAsia" w:ascii="仿宋_GB2312" w:hAnsi="华文中宋" w:eastAsia="仿宋_GB2312" w:cs="仿宋_GB2312"/>
                <w:kern w:val="0"/>
                <w:sz w:val="24"/>
              </w:rPr>
              <w:t>）时间</w:t>
            </w:r>
            <w:r>
              <w:rPr>
                <w:rFonts w:hint="eastAsia" w:ascii="仿宋_GB2312" w:hAnsi="华文中宋" w:eastAsia="仿宋_GB2312" w:cs="仿宋_GB2312"/>
                <w:kern w:val="0"/>
                <w:sz w:val="24"/>
                <w:lang w:eastAsia="zh-CN"/>
              </w:rPr>
              <w:t>最</w:t>
            </w:r>
            <w:r>
              <w:rPr>
                <w:rFonts w:hint="eastAsia" w:ascii="仿宋_GB2312" w:hAnsi="华文中宋" w:eastAsia="仿宋_GB2312" w:cs="仿宋_GB2312"/>
                <w:kern w:val="0"/>
                <w:sz w:val="24"/>
              </w:rPr>
              <w:t>长</w:t>
            </w:r>
            <w:r>
              <w:rPr>
                <w:rFonts w:hint="eastAsia" w:ascii="仿宋_GB2312" w:hAnsi="华文中宋" w:eastAsia="仿宋_GB2312" w:cs="仿宋_GB2312"/>
                <w:kern w:val="0"/>
                <w:sz w:val="24"/>
                <w:lang w:eastAsia="zh-CN"/>
              </w:rPr>
              <w:t>的</w:t>
            </w:r>
            <w:r>
              <w:rPr>
                <w:rFonts w:hint="eastAsia" w:ascii="仿宋_GB2312" w:hAnsi="华文中宋" w:eastAsia="仿宋_GB2312" w:cs="仿宋_GB2312"/>
                <w:kern w:val="0"/>
                <w:sz w:val="24"/>
              </w:rPr>
              <w:t>一方计算积分，</w:t>
            </w:r>
            <w:r>
              <w:rPr>
                <w:rFonts w:hint="eastAsia" w:ascii="仿宋_GB2312" w:hAnsi="华文中宋" w:eastAsia="仿宋_GB2312" w:cs="仿宋_GB2312"/>
                <w:kern w:val="0"/>
                <w:sz w:val="24"/>
                <w:lang w:eastAsia="zh-CN"/>
              </w:rPr>
              <w:t>以同时缴纳养老保险和医疗保险的月数作为积分月数，每满</w:t>
            </w:r>
            <w:r>
              <w:rPr>
                <w:rFonts w:hint="eastAsia" w:ascii="仿宋_GB2312" w:hAnsi="华文中宋" w:eastAsia="仿宋_GB2312" w:cs="仿宋_GB2312"/>
                <w:kern w:val="0"/>
                <w:sz w:val="24"/>
                <w:lang w:val="en-US" w:eastAsia="zh-CN"/>
              </w:rPr>
              <w:t>1个月加0.1分，</w:t>
            </w:r>
            <w:r>
              <w:rPr>
                <w:rFonts w:hint="eastAsia" w:ascii="仿宋_GB2312" w:hAnsi="华文中宋" w:eastAsia="仿宋_GB2312" w:cs="仿宋_GB2312"/>
                <w:kern w:val="0"/>
                <w:sz w:val="24"/>
                <w:lang w:eastAsia="zh-CN"/>
              </w:rPr>
              <w:t>补缴月数不纳入积分。</w:t>
            </w:r>
          </w:p>
        </w:tc>
        <w:tc>
          <w:tcPr>
            <w:tcW w:w="5190" w:type="dxa"/>
            <w:vMerge w:val="restart"/>
            <w:tcBorders>
              <w:top w:val="single" w:color="000000" w:sz="6" w:space="0"/>
              <w:left w:val="single" w:color="auto" w:sz="4"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hint="eastAsia" w:ascii="仿宋_GB2312" w:hAnsi="华文中宋" w:eastAsia="仿宋_GB2312" w:cs="仿宋_GB2312"/>
                <w:b/>
                <w:kern w:val="0"/>
                <w:sz w:val="24"/>
                <w:szCs w:val="24"/>
                <w:lang w:eastAsia="zh-CN"/>
              </w:rPr>
            </w:pPr>
            <w:r>
              <w:rPr>
                <w:rFonts w:hint="eastAsia" w:ascii="仿宋_GB2312" w:hAnsi="华文中宋" w:eastAsia="仿宋_GB2312" w:cs="仿宋_GB2312"/>
                <w:b/>
                <w:kern w:val="0"/>
                <w:sz w:val="24"/>
                <w:szCs w:val="24"/>
                <w:lang w:eastAsia="zh-CN"/>
              </w:rPr>
              <w:t>深圳户籍：</w:t>
            </w:r>
          </w:p>
          <w:p>
            <w:pPr>
              <w:widowControl/>
              <w:spacing w:line="255" w:lineRule="atLeast"/>
              <w:rPr>
                <w:rFonts w:hint="eastAsia" w:ascii="仿宋_GB2312" w:hAnsi="华文中宋" w:eastAsia="仿宋_GB2312" w:cs="仿宋_GB2312"/>
                <w:kern w:val="0"/>
                <w:sz w:val="24"/>
                <w:lang w:val="en-US" w:eastAsia="zh-CN"/>
              </w:rPr>
            </w:pPr>
            <w:r>
              <w:rPr>
                <w:rFonts w:hint="eastAsia" w:ascii="仿宋_GB2312" w:hAnsi="华文中宋" w:eastAsia="仿宋_GB2312" w:cs="仿宋_GB2312"/>
                <w:kern w:val="0"/>
                <w:sz w:val="24"/>
                <w:lang w:eastAsia="zh-CN"/>
              </w:rPr>
              <w:t>申请入园适龄儿童的父母（或法定监护人）户籍迁入深圳时间最长的一方计算积分，每满</w:t>
            </w:r>
            <w:r>
              <w:rPr>
                <w:rFonts w:hint="eastAsia" w:ascii="仿宋_GB2312" w:hAnsi="华文中宋" w:eastAsia="仿宋_GB2312" w:cs="仿宋_GB2312"/>
                <w:kern w:val="0"/>
                <w:sz w:val="24"/>
                <w:lang w:val="en-US" w:eastAsia="zh-CN"/>
              </w:rPr>
              <w:t>1</w:t>
            </w:r>
            <w:r>
              <w:rPr>
                <w:rFonts w:hint="eastAsia" w:ascii="仿宋_GB2312" w:hAnsi="华文中宋" w:eastAsia="仿宋_GB2312" w:cs="仿宋_GB2312"/>
                <w:kern w:val="0"/>
                <w:sz w:val="24"/>
                <w:lang w:eastAsia="zh-CN"/>
              </w:rPr>
              <w:t>个月加</w:t>
            </w:r>
            <w:r>
              <w:rPr>
                <w:rFonts w:hint="eastAsia" w:ascii="仿宋_GB2312" w:hAnsi="华文中宋" w:eastAsia="仿宋_GB2312" w:cs="仿宋_GB2312"/>
                <w:kern w:val="0"/>
                <w:sz w:val="24"/>
                <w:lang w:val="en-US" w:eastAsia="zh-CN"/>
              </w:rPr>
              <w:t>0.1分。</w:t>
            </w:r>
          </w:p>
          <w:p>
            <w:pPr>
              <w:widowControl/>
              <w:spacing w:line="255" w:lineRule="atLeast"/>
              <w:rPr>
                <w:rFonts w:hint="eastAsia" w:ascii="仿宋_GB2312" w:hAnsi="华文中宋" w:eastAsia="仿宋_GB2312" w:cs="仿宋_GB2312"/>
                <w:kern w:val="0"/>
                <w:sz w:val="24"/>
                <w:lang w:val="en-US" w:eastAsia="zh-CN"/>
              </w:rPr>
            </w:pPr>
          </w:p>
          <w:p>
            <w:pPr>
              <w:autoSpaceDE w:val="0"/>
              <w:autoSpaceDN w:val="0"/>
              <w:adjustRightInd w:val="0"/>
              <w:snapToGrid w:val="0"/>
              <w:rPr>
                <w:rFonts w:hint="eastAsia" w:ascii="仿宋_GB2312" w:hAnsi="华文中宋" w:eastAsia="仿宋_GB2312" w:cs="仿宋_GB2312"/>
                <w:b/>
                <w:kern w:val="0"/>
                <w:sz w:val="28"/>
                <w:szCs w:val="28"/>
              </w:rPr>
            </w:pPr>
          </w:p>
          <w:p>
            <w:pPr>
              <w:autoSpaceDE w:val="0"/>
              <w:autoSpaceDN w:val="0"/>
              <w:adjustRightInd w:val="0"/>
              <w:snapToGrid w:val="0"/>
              <w:rPr>
                <w:rFonts w:ascii="仿宋_GB2312" w:hAnsi="华文中宋" w:eastAsia="仿宋_GB2312" w:cs="仿宋_GB2312"/>
                <w:b/>
                <w:kern w:val="0"/>
                <w:sz w:val="24"/>
                <w:szCs w:val="24"/>
              </w:rPr>
            </w:pPr>
            <w:r>
              <w:rPr>
                <w:rFonts w:hint="eastAsia" w:ascii="仿宋_GB2312" w:hAnsi="华文中宋" w:eastAsia="仿宋_GB2312" w:cs="仿宋_GB2312"/>
                <w:b/>
                <w:kern w:val="0"/>
                <w:sz w:val="24"/>
                <w:szCs w:val="24"/>
              </w:rPr>
              <w:t>非深圳户籍：</w:t>
            </w:r>
          </w:p>
          <w:p>
            <w:pPr>
              <w:widowControl/>
              <w:spacing w:line="255" w:lineRule="atLeast"/>
              <w:rPr>
                <w:rFonts w:ascii="仿宋" w:hAnsi="仿宋" w:eastAsia="仿宋" w:cs="Arial"/>
                <w:color w:val="000000"/>
                <w:kern w:val="0"/>
                <w:sz w:val="24"/>
                <w:szCs w:val="24"/>
              </w:rPr>
            </w:pPr>
            <w:r>
              <w:rPr>
                <w:rFonts w:hint="eastAsia" w:ascii="仿宋_GB2312" w:hAnsi="华文中宋" w:eastAsia="仿宋_GB2312" w:cs="仿宋_GB2312"/>
                <w:kern w:val="0"/>
                <w:sz w:val="24"/>
                <w:lang w:val="en-US" w:eastAsia="zh-CN"/>
              </w:rPr>
              <w:t>申请入园适龄儿童的父母（或法定监护人）具有使用功能的《深圳经济特区居住证》或《中华人民共和国港澳居民居住证》时间最长的一方计算积分，每满一个月加0.1分；</w:t>
            </w:r>
            <w:r>
              <w:rPr>
                <w:rFonts w:hint="eastAsia" w:ascii="仿宋_GB2312" w:hAnsi="华文中宋" w:eastAsia="仿宋_GB2312" w:cs="仿宋_GB2312"/>
                <w:kern w:val="0"/>
                <w:sz w:val="24"/>
                <w:highlight w:val="none"/>
                <w:lang w:val="en-US" w:eastAsia="zh-CN"/>
              </w:rPr>
              <w:t>如果父母（或法定监护人）有一方是深圳户籍的，经申请人申请，可以以父母一方户籍迁入深圳的时间计算积分，每满1个月加0.1分。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87"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第二类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shd w:val="clear" w:color="auto" w:fill="FFFFFF"/>
            <w:noWrap w:val="0"/>
            <w:vAlign w:val="top"/>
          </w:tcPr>
          <w:p>
            <w:pPr>
              <w:widowControl/>
              <w:jc w:val="left"/>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29"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第三类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龙华区户籍</w:t>
            </w:r>
          </w:p>
        </w:tc>
        <w:tc>
          <w:tcPr>
            <w:tcW w:w="1610" w:type="dxa"/>
            <w:vMerge w:val="restart"/>
            <w:tcBorders>
              <w:top w:val="single" w:color="auto" w:sz="4" w:space="0"/>
              <w:left w:val="single" w:color="auto" w:sz="4" w:space="0"/>
              <w:right w:val="single" w:color="auto" w:sz="4" w:space="0"/>
            </w:tcBorders>
            <w:shd w:val="clear" w:color="auto" w:fill="FFFFFF"/>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86"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spacing w:line="560" w:lineRule="exact"/>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第四类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深圳其他区户籍</w:t>
            </w:r>
          </w:p>
        </w:tc>
        <w:tc>
          <w:tcPr>
            <w:tcW w:w="1610"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185" w:type="dxa"/>
            <w:tcBorders>
              <w:top w:val="single" w:color="auto"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ascii="仿宋_GB2312" w:hAnsi="华文中宋" w:eastAsia="仿宋_GB2312" w:cs="仿宋_GB2312"/>
                <w:kern w:val="0"/>
                <w:sz w:val="24"/>
              </w:rPr>
            </w:pPr>
            <w:r>
              <w:rPr>
                <w:rFonts w:hint="eastAsia" w:ascii="仿宋_GB2312" w:hAnsi="华文中宋" w:eastAsia="仿宋_GB2312" w:cs="仿宋_GB2312"/>
                <w:kern w:val="0"/>
                <w:sz w:val="24"/>
              </w:rPr>
              <w:t>第五类</w:t>
            </w:r>
          </w:p>
        </w:tc>
        <w:tc>
          <w:tcPr>
            <w:tcW w:w="1420" w:type="dxa"/>
            <w:tcBorders>
              <w:top w:val="single" w:color="auto" w:sz="6" w:space="0"/>
              <w:left w:val="single" w:color="auto" w:sz="6"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内商品房</w:t>
            </w:r>
            <w:bookmarkStart w:id="0" w:name="_GoBack"/>
            <w:bookmarkEnd w:id="0"/>
          </w:p>
        </w:tc>
        <w:tc>
          <w:tcPr>
            <w:tcW w:w="1005"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414" w:hRule="atLeast"/>
        </w:trPr>
        <w:tc>
          <w:tcPr>
            <w:tcW w:w="1185" w:type="dxa"/>
            <w:tcBorders>
              <w:top w:val="single" w:color="auto" w:sz="6" w:space="0"/>
              <w:left w:val="single" w:color="000000" w:sz="6" w:space="0"/>
              <w:bottom w:val="single" w:color="auto" w:sz="6" w:space="0"/>
              <w:right w:val="single" w:color="000000" w:sz="6"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jc w:val="center"/>
              <w:rPr>
                <w:rFonts w:hint="eastAsia" w:ascii="仿宋_GB2312" w:hAnsi="华文中宋" w:eastAsia="仿宋_GB2312" w:cs="仿宋_GB2312"/>
                <w:kern w:val="0"/>
                <w:sz w:val="24"/>
              </w:rPr>
            </w:pPr>
            <w:r>
              <w:rPr>
                <w:rFonts w:hint="eastAsia" w:ascii="仿宋_GB2312" w:hAnsi="华文中宋" w:eastAsia="仿宋_GB2312" w:cs="仿宋_GB2312"/>
                <w:kern w:val="0"/>
                <w:sz w:val="24"/>
              </w:rPr>
              <w:t>第六类</w:t>
            </w:r>
          </w:p>
        </w:tc>
        <w:tc>
          <w:tcPr>
            <w:tcW w:w="1420" w:type="dxa"/>
            <w:tcBorders>
              <w:top w:val="single" w:color="auto" w:sz="6" w:space="0"/>
              <w:left w:val="single" w:color="auto" w:sz="6"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autoSpaceDE w:val="0"/>
              <w:autoSpaceDN w:val="0"/>
              <w:adjustRightInd w:val="0"/>
              <w:snapToGrid w:val="0"/>
              <w:rPr>
                <w:rFonts w:ascii="仿宋_GB2312" w:hAnsi="华文中宋" w:eastAsia="仿宋_GB2312" w:cs="仿宋_GB2312"/>
                <w:kern w:val="0"/>
                <w:sz w:val="24"/>
              </w:rPr>
            </w:pPr>
            <w:r>
              <w:rPr>
                <w:rFonts w:hint="eastAsia" w:ascii="仿宋_GB2312" w:hAnsi="华文中宋" w:eastAsia="仿宋_GB2312" w:cs="仿宋_GB2312"/>
                <w:kern w:val="0"/>
                <w:sz w:val="24"/>
              </w:rPr>
              <w:t>非深户籍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Arial"/>
                <w:color w:val="000000"/>
                <w:kern w:val="0"/>
                <w:sz w:val="24"/>
                <w:szCs w:val="24"/>
              </w:rPr>
            </w:pPr>
            <w:r>
              <w:rPr>
                <w:rFonts w:hint="eastAsia" w:ascii="仿宋_GB2312" w:hAnsi="仿宋_GB2312" w:eastAsia="仿宋_GB2312" w:cs="仿宋_GB2312"/>
                <w:color w:val="000000"/>
                <w:kern w:val="0"/>
                <w:sz w:val="24"/>
                <w:szCs w:val="24"/>
              </w:rPr>
              <w:t>幼儿园所在社区</w:t>
            </w:r>
            <w:r>
              <w:rPr>
                <w:rFonts w:hint="eastAsia" w:ascii="仿宋_GB2312" w:hAnsi="华文中宋" w:eastAsia="仿宋_GB2312" w:cs="仿宋_GB2312"/>
                <w:kern w:val="0"/>
                <w:sz w:val="24"/>
              </w:rPr>
              <w:t>内租房或公共租赁房或其他类住房</w:t>
            </w:r>
          </w:p>
        </w:tc>
        <w:tc>
          <w:tcPr>
            <w:tcW w:w="1005" w:type="dxa"/>
            <w:vMerge w:val="continue"/>
            <w:tcBorders>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40" w:type="dxa"/>
            <w:vMerge w:val="continue"/>
            <w:tcBorders>
              <w:top w:val="single" w:color="000000" w:sz="6" w:space="0"/>
              <w:left w:val="single" w:color="auto" w:sz="4" w:space="0"/>
              <w:bottom w:val="single" w:color="000000" w:sz="6" w:space="0"/>
              <w:right w:val="single" w:color="000000" w:sz="6" w:space="0"/>
            </w:tcBorders>
            <w:noWrap w:val="0"/>
            <w:vAlign w:val="center"/>
          </w:tcPr>
          <w:p>
            <w:pPr>
              <w:widowControl/>
              <w:jc w:val="left"/>
              <w:rPr>
                <w:rFonts w:ascii="仿宋" w:hAnsi="仿宋" w:eastAsia="仿宋" w:cs="Arial"/>
                <w:color w:val="000000"/>
                <w:kern w:val="0"/>
                <w:sz w:val="24"/>
                <w:szCs w:val="24"/>
              </w:rPr>
            </w:pPr>
          </w:p>
        </w:tc>
        <w:tc>
          <w:tcPr>
            <w:tcW w:w="5190" w:type="dxa"/>
            <w:vMerge w:val="continue"/>
            <w:tcBorders>
              <w:left w:val="single" w:color="auto" w:sz="4" w:space="0"/>
              <w:right w:val="single" w:color="000000" w:sz="6" w:space="0"/>
            </w:tcBorders>
            <w:noWrap w:val="0"/>
            <w:vAlign w:val="center"/>
          </w:tcPr>
          <w:p>
            <w:pPr>
              <w:widowControl/>
              <w:jc w:val="left"/>
              <w:rPr>
                <w:rFonts w:ascii="仿宋" w:hAnsi="仿宋" w:eastAsia="仿宋" w:cs="Arial"/>
                <w:color w:val="000000"/>
                <w:kern w:val="0"/>
                <w:sz w:val="24"/>
                <w:szCs w:val="24"/>
              </w:rPr>
            </w:pPr>
          </w:p>
        </w:tc>
      </w:tr>
    </w:tbl>
    <w:p>
      <w:pPr>
        <w:autoSpaceDE w:val="0"/>
        <w:autoSpaceDN w:val="0"/>
        <w:adjustRightInd w:val="0"/>
        <w:snapToGrid w:val="0"/>
        <w:spacing w:line="560" w:lineRule="exact"/>
        <w:ind w:left="2" w:leftChars="-295" w:hanging="621" w:hangingChars="258"/>
        <w:rPr>
          <w:rFonts w:eastAsia="仿宋_GB2312" w:cs="仿宋_GB2312"/>
          <w:b/>
          <w:bCs/>
          <w:kern w:val="0"/>
          <w:sz w:val="24"/>
        </w:rPr>
      </w:pPr>
      <w:r>
        <w:rPr>
          <w:rFonts w:hint="eastAsia" w:eastAsia="仿宋_GB2312" w:cs="仿宋_GB2312"/>
          <w:b/>
          <w:bCs/>
          <w:kern w:val="0"/>
          <w:sz w:val="24"/>
        </w:rPr>
        <w:t>说明：</w:t>
      </w:r>
    </w:p>
    <w:p>
      <w:pPr>
        <w:autoSpaceDE w:val="0"/>
        <w:autoSpaceDN w:val="0"/>
        <w:adjustRightInd w:val="0"/>
        <w:snapToGrid w:val="0"/>
        <w:ind w:left="0" w:leftChars="-180" w:right="-741" w:rightChars="-353" w:hanging="378" w:hangingChars="157"/>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1．积分办法（二）适用于非住宅小区配套幼儿园及住宅小区配套幼儿园有学位富余面向所在社区</w:t>
      </w:r>
      <w:r>
        <w:rPr>
          <w:rFonts w:hint="eastAsia" w:ascii="仿宋_GB2312" w:hAnsi="仿宋_GB2312" w:eastAsia="仿宋_GB2312" w:cs="仿宋_GB2312"/>
          <w:b/>
          <w:bCs/>
          <w:color w:val="auto"/>
          <w:kern w:val="0"/>
          <w:sz w:val="24"/>
          <w:szCs w:val="24"/>
          <w:lang w:val="en-US" w:eastAsia="zh-CN"/>
        </w:rPr>
        <w:t>及周边社区</w:t>
      </w:r>
      <w:r>
        <w:rPr>
          <w:rFonts w:hint="eastAsia" w:ascii="仿宋_GB2312" w:hAnsi="仿宋_GB2312" w:eastAsia="仿宋_GB2312" w:cs="仿宋_GB2312"/>
          <w:b/>
          <w:bCs/>
          <w:color w:val="auto"/>
          <w:kern w:val="0"/>
          <w:sz w:val="24"/>
          <w:szCs w:val="24"/>
        </w:rPr>
        <w:t>扩招情形。</w:t>
      </w:r>
    </w:p>
    <w:p>
      <w:pPr>
        <w:autoSpaceDE w:val="0"/>
        <w:autoSpaceDN w:val="0"/>
        <w:adjustRightInd w:val="0"/>
        <w:snapToGrid w:val="0"/>
        <w:ind w:left="0" w:leftChars="-180"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2．以上积分项积分不封顶。</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3．招生系统根据户籍、住房类别和社保等条件自动生成学位类型和积分，</w:t>
      </w:r>
      <w:r>
        <w:rPr>
          <w:rFonts w:hint="eastAsia" w:ascii="仿宋_GB2312" w:hAnsi="仿宋_GB2312" w:eastAsia="仿宋_GB2312" w:cs="仿宋_GB2312"/>
          <w:b/>
          <w:bCs/>
          <w:color w:val="auto"/>
          <w:kern w:val="0"/>
          <w:sz w:val="24"/>
          <w:highlight w:val="none"/>
        </w:rPr>
        <w:t>学位申请材料经“</w:t>
      </w:r>
      <w:r>
        <w:rPr>
          <w:rFonts w:hint="eastAsia" w:ascii="仿宋_GB2312" w:hAnsi="仿宋_GB2312" w:eastAsia="仿宋_GB2312" w:cs="仿宋_GB2312"/>
          <w:b/>
          <w:bCs/>
          <w:color w:val="auto"/>
          <w:kern w:val="0"/>
          <w:sz w:val="24"/>
          <w:highlight w:val="none"/>
          <w:lang w:eastAsia="zh-CN"/>
        </w:rPr>
        <w:t>市政府政务服务数据管理平台</w:t>
      </w:r>
      <w:r>
        <w:rPr>
          <w:rFonts w:hint="eastAsia" w:ascii="仿宋_GB2312" w:hAnsi="仿宋_GB2312" w:eastAsia="仿宋_GB2312" w:cs="仿宋_GB2312"/>
          <w:b/>
          <w:bCs/>
          <w:color w:val="auto"/>
          <w:kern w:val="0"/>
          <w:sz w:val="24"/>
          <w:highlight w:val="none"/>
        </w:rPr>
        <w:t>”</w:t>
      </w:r>
      <w:r>
        <w:rPr>
          <w:rFonts w:hint="eastAsia" w:ascii="仿宋_GB2312" w:hAnsi="仿宋_GB2312" w:eastAsia="仿宋_GB2312" w:cs="仿宋_GB2312"/>
          <w:b/>
          <w:bCs/>
          <w:kern w:val="0"/>
          <w:sz w:val="24"/>
          <w:szCs w:val="24"/>
        </w:rPr>
        <w:t>数据资源库后台比对和审核后，其学位类型和积分正式有效。</w:t>
      </w:r>
    </w:p>
    <w:p>
      <w:pPr>
        <w:autoSpaceDE w:val="0"/>
        <w:autoSpaceDN w:val="0"/>
        <w:adjustRightInd w:val="0"/>
        <w:snapToGrid w:val="0"/>
        <w:ind w:left="0" w:leftChars="-180" w:right="-741" w:rightChars="-353" w:hanging="378" w:hangingChars="157"/>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kern w:val="0"/>
          <w:sz w:val="24"/>
          <w:szCs w:val="24"/>
          <w:lang w:val="en-US" w:eastAsia="zh-CN"/>
        </w:rPr>
        <w:t>4</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b/>
          <w:bCs/>
          <w:color w:val="000000"/>
          <w:kern w:val="0"/>
          <w:sz w:val="24"/>
          <w:szCs w:val="24"/>
        </w:rPr>
        <w:t>商品房及安居商品房购房合同</w:t>
      </w:r>
      <w:r>
        <w:rPr>
          <w:rFonts w:hint="eastAsia" w:ascii="仿宋_GB2312" w:hAnsi="仿宋_GB2312" w:eastAsia="仿宋_GB2312" w:cs="仿宋_GB2312"/>
          <w:b/>
          <w:bCs/>
          <w:color w:val="000000"/>
          <w:kern w:val="0"/>
          <w:sz w:val="24"/>
          <w:szCs w:val="24"/>
          <w:highlight w:val="none"/>
          <w:lang w:eastAsia="zh-CN"/>
        </w:rPr>
        <w:t>（未到国土部门备案的购房合同不能申请学位）</w:t>
      </w:r>
      <w:r>
        <w:rPr>
          <w:rFonts w:hint="eastAsia" w:ascii="仿宋_GB2312" w:hAnsi="仿宋_GB2312" w:eastAsia="仿宋_GB2312" w:cs="仿宋_GB2312"/>
          <w:b/>
          <w:bCs/>
          <w:color w:val="000000"/>
          <w:kern w:val="0"/>
          <w:sz w:val="24"/>
          <w:szCs w:val="24"/>
        </w:rPr>
        <w:t>、房屋租赁信息、其他类住房</w:t>
      </w:r>
      <w:r>
        <w:rPr>
          <w:rFonts w:hint="eastAsia" w:ascii="仿宋_GB2312" w:hAnsi="仿宋_GB2312" w:eastAsia="仿宋_GB2312" w:cs="仿宋_GB2312"/>
          <w:b/>
          <w:bCs/>
          <w:color w:val="000000"/>
          <w:kern w:val="0"/>
          <w:sz w:val="24"/>
        </w:rPr>
        <w:t>（自建房、军产房、集资房、</w:t>
      </w:r>
      <w:r>
        <w:rPr>
          <w:rFonts w:hint="eastAsia" w:ascii="仿宋_GB2312" w:hAnsi="仿宋_GB2312" w:eastAsia="仿宋_GB2312" w:cs="仿宋_GB2312"/>
          <w:b/>
          <w:bCs/>
          <w:color w:val="000000"/>
          <w:kern w:val="0"/>
          <w:sz w:val="24"/>
          <w:lang w:eastAsia="zh-CN"/>
        </w:rPr>
        <w:t>小产权房、租房但未办理房屋租赁凭证或房屋租赁信息、</w:t>
      </w:r>
      <w:r>
        <w:rPr>
          <w:rFonts w:hint="eastAsia" w:ascii="仿宋_GB2312" w:hAnsi="仿宋_GB2312" w:eastAsia="仿宋_GB2312" w:cs="仿宋_GB2312"/>
          <w:b/>
          <w:bCs/>
          <w:color w:val="000000"/>
          <w:kern w:val="0"/>
          <w:sz w:val="24"/>
        </w:rPr>
        <w:t>集体宿舍</w:t>
      </w:r>
      <w:r>
        <w:rPr>
          <w:rFonts w:hint="eastAsia" w:ascii="仿宋_GB2312" w:hAnsi="仿宋_GB2312" w:eastAsia="仿宋_GB2312" w:cs="仿宋_GB2312"/>
          <w:b/>
          <w:bCs/>
          <w:color w:val="000000"/>
          <w:kern w:val="0"/>
          <w:sz w:val="24"/>
          <w:lang w:eastAsia="zh-CN"/>
        </w:rPr>
        <w:t>等</w:t>
      </w:r>
      <w:r>
        <w:rPr>
          <w:rFonts w:hint="eastAsia" w:ascii="仿宋_GB2312" w:hAnsi="仿宋_GB2312" w:eastAsia="仿宋_GB2312" w:cs="仿宋_GB2312"/>
          <w:b/>
          <w:bCs/>
          <w:color w:val="000000"/>
          <w:kern w:val="0"/>
          <w:sz w:val="24"/>
        </w:rPr>
        <w:t>）</w:t>
      </w:r>
      <w:r>
        <w:rPr>
          <w:rFonts w:hint="eastAsia" w:ascii="仿宋_GB2312" w:hAnsi="仿宋_GB2312" w:eastAsia="仿宋_GB2312" w:cs="仿宋_GB2312"/>
          <w:b/>
          <w:bCs/>
          <w:color w:val="000000"/>
          <w:kern w:val="0"/>
          <w:sz w:val="24"/>
          <w:szCs w:val="24"/>
        </w:rPr>
        <w:t>可作为住房材料申请学位，但不参与积分。</w:t>
      </w:r>
    </w:p>
    <w:sectPr>
      <w:pgSz w:w="16838" w:h="11906" w:orient="landscape"/>
      <w:pgMar w:top="166" w:right="1440" w:bottom="40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31EE6"/>
    <w:rsid w:val="00024996"/>
    <w:rsid w:val="00047C01"/>
    <w:rsid w:val="00047DB6"/>
    <w:rsid w:val="00076021"/>
    <w:rsid w:val="000934D5"/>
    <w:rsid w:val="00115248"/>
    <w:rsid w:val="00174AD7"/>
    <w:rsid w:val="001A54F1"/>
    <w:rsid w:val="002754D4"/>
    <w:rsid w:val="003E12E2"/>
    <w:rsid w:val="004367F4"/>
    <w:rsid w:val="004862ED"/>
    <w:rsid w:val="004B1B30"/>
    <w:rsid w:val="0052217D"/>
    <w:rsid w:val="00542AA1"/>
    <w:rsid w:val="005531ED"/>
    <w:rsid w:val="00587C1F"/>
    <w:rsid w:val="00635486"/>
    <w:rsid w:val="0071525E"/>
    <w:rsid w:val="00722395"/>
    <w:rsid w:val="0074279C"/>
    <w:rsid w:val="007A090D"/>
    <w:rsid w:val="007A70B6"/>
    <w:rsid w:val="007A7B64"/>
    <w:rsid w:val="007F58B3"/>
    <w:rsid w:val="008D4CF9"/>
    <w:rsid w:val="008E29B8"/>
    <w:rsid w:val="00961FDB"/>
    <w:rsid w:val="00965A9F"/>
    <w:rsid w:val="00A709A3"/>
    <w:rsid w:val="00A849F2"/>
    <w:rsid w:val="00B12B8A"/>
    <w:rsid w:val="00B15B65"/>
    <w:rsid w:val="00B379DA"/>
    <w:rsid w:val="00B755A4"/>
    <w:rsid w:val="00B91361"/>
    <w:rsid w:val="00B9670D"/>
    <w:rsid w:val="00B968E0"/>
    <w:rsid w:val="00BC1E26"/>
    <w:rsid w:val="00BE4F22"/>
    <w:rsid w:val="00C43F8D"/>
    <w:rsid w:val="00C75AA8"/>
    <w:rsid w:val="00C96A51"/>
    <w:rsid w:val="00CA5845"/>
    <w:rsid w:val="00CA76BE"/>
    <w:rsid w:val="00CE6989"/>
    <w:rsid w:val="00D23994"/>
    <w:rsid w:val="00ED635A"/>
    <w:rsid w:val="00F54200"/>
    <w:rsid w:val="00FC4F96"/>
    <w:rsid w:val="00FD08BA"/>
    <w:rsid w:val="025474B6"/>
    <w:rsid w:val="046A2580"/>
    <w:rsid w:val="04D338ED"/>
    <w:rsid w:val="04F40349"/>
    <w:rsid w:val="05931EE6"/>
    <w:rsid w:val="07A45F69"/>
    <w:rsid w:val="07FC2F4B"/>
    <w:rsid w:val="08E17AC0"/>
    <w:rsid w:val="0A7060F0"/>
    <w:rsid w:val="0A7C5C85"/>
    <w:rsid w:val="0B946A4B"/>
    <w:rsid w:val="0D644422"/>
    <w:rsid w:val="0DA73082"/>
    <w:rsid w:val="0E01540F"/>
    <w:rsid w:val="0E8A2EA5"/>
    <w:rsid w:val="0F65723C"/>
    <w:rsid w:val="10B854E7"/>
    <w:rsid w:val="10F90CDD"/>
    <w:rsid w:val="12C37CD0"/>
    <w:rsid w:val="14073BDB"/>
    <w:rsid w:val="146C3F60"/>
    <w:rsid w:val="15CE7164"/>
    <w:rsid w:val="1641791E"/>
    <w:rsid w:val="16A47295"/>
    <w:rsid w:val="194D071B"/>
    <w:rsid w:val="1A645187"/>
    <w:rsid w:val="1A7761BB"/>
    <w:rsid w:val="1A8746FC"/>
    <w:rsid w:val="1B4431B4"/>
    <w:rsid w:val="1BD708F7"/>
    <w:rsid w:val="1E271BD3"/>
    <w:rsid w:val="1F6A4DC8"/>
    <w:rsid w:val="20660DC6"/>
    <w:rsid w:val="240316F6"/>
    <w:rsid w:val="24146899"/>
    <w:rsid w:val="24172686"/>
    <w:rsid w:val="252C2495"/>
    <w:rsid w:val="274A57F7"/>
    <w:rsid w:val="27E807FD"/>
    <w:rsid w:val="27EC2159"/>
    <w:rsid w:val="28146CD6"/>
    <w:rsid w:val="285B2FB6"/>
    <w:rsid w:val="2883089A"/>
    <w:rsid w:val="291127A5"/>
    <w:rsid w:val="299D23ED"/>
    <w:rsid w:val="2BD05E2D"/>
    <w:rsid w:val="2C596A27"/>
    <w:rsid w:val="2E9231E8"/>
    <w:rsid w:val="2ED81470"/>
    <w:rsid w:val="2F7B4D6D"/>
    <w:rsid w:val="2FCA7624"/>
    <w:rsid w:val="30F372F8"/>
    <w:rsid w:val="31C13360"/>
    <w:rsid w:val="3203217C"/>
    <w:rsid w:val="32F15DFE"/>
    <w:rsid w:val="32FF1536"/>
    <w:rsid w:val="33294EEC"/>
    <w:rsid w:val="33A92064"/>
    <w:rsid w:val="35874CE3"/>
    <w:rsid w:val="37C40CD5"/>
    <w:rsid w:val="37CA6D45"/>
    <w:rsid w:val="39CB2B46"/>
    <w:rsid w:val="39EE16C0"/>
    <w:rsid w:val="3AA249CB"/>
    <w:rsid w:val="3B06083E"/>
    <w:rsid w:val="3C0705C8"/>
    <w:rsid w:val="3C5A1BF3"/>
    <w:rsid w:val="3C5D51E5"/>
    <w:rsid w:val="3EFF3A79"/>
    <w:rsid w:val="3FFF5B4F"/>
    <w:rsid w:val="402E156B"/>
    <w:rsid w:val="43B31E8C"/>
    <w:rsid w:val="442712BC"/>
    <w:rsid w:val="450C6ED4"/>
    <w:rsid w:val="45AF5024"/>
    <w:rsid w:val="46933FE2"/>
    <w:rsid w:val="47223C40"/>
    <w:rsid w:val="476C27D9"/>
    <w:rsid w:val="476D5746"/>
    <w:rsid w:val="485B1771"/>
    <w:rsid w:val="48C56751"/>
    <w:rsid w:val="49433379"/>
    <w:rsid w:val="49A24764"/>
    <w:rsid w:val="4C0308D8"/>
    <w:rsid w:val="4C4A42B7"/>
    <w:rsid w:val="4D2E617B"/>
    <w:rsid w:val="4D8860D9"/>
    <w:rsid w:val="4DD46B8A"/>
    <w:rsid w:val="513333C4"/>
    <w:rsid w:val="517843A6"/>
    <w:rsid w:val="51CD6F6B"/>
    <w:rsid w:val="543B2E4E"/>
    <w:rsid w:val="55594BD9"/>
    <w:rsid w:val="570E3375"/>
    <w:rsid w:val="5BAE2F83"/>
    <w:rsid w:val="5BE91DD5"/>
    <w:rsid w:val="5C754E90"/>
    <w:rsid w:val="5CDF4D8B"/>
    <w:rsid w:val="5D03589A"/>
    <w:rsid w:val="5D7F29EB"/>
    <w:rsid w:val="5E172123"/>
    <w:rsid w:val="5E8855A7"/>
    <w:rsid w:val="5EFF738F"/>
    <w:rsid w:val="626B485B"/>
    <w:rsid w:val="638C6AF9"/>
    <w:rsid w:val="63B669E6"/>
    <w:rsid w:val="65027BE7"/>
    <w:rsid w:val="650D1DD7"/>
    <w:rsid w:val="66B90824"/>
    <w:rsid w:val="685F1C4F"/>
    <w:rsid w:val="68A433FC"/>
    <w:rsid w:val="68FC6D41"/>
    <w:rsid w:val="69F70606"/>
    <w:rsid w:val="6A3008A5"/>
    <w:rsid w:val="6A327686"/>
    <w:rsid w:val="6BF451A5"/>
    <w:rsid w:val="6C19107F"/>
    <w:rsid w:val="6CED5143"/>
    <w:rsid w:val="6D2337E4"/>
    <w:rsid w:val="6D6066FB"/>
    <w:rsid w:val="6DD93DBF"/>
    <w:rsid w:val="6E3D3441"/>
    <w:rsid w:val="6EB67B75"/>
    <w:rsid w:val="6EE567A7"/>
    <w:rsid w:val="6FB72814"/>
    <w:rsid w:val="6FF26A2A"/>
    <w:rsid w:val="707632D2"/>
    <w:rsid w:val="72892EAE"/>
    <w:rsid w:val="73782754"/>
    <w:rsid w:val="74604DE8"/>
    <w:rsid w:val="75D345C7"/>
    <w:rsid w:val="75E7372C"/>
    <w:rsid w:val="77107800"/>
    <w:rsid w:val="78817ECC"/>
    <w:rsid w:val="78C42E32"/>
    <w:rsid w:val="79287574"/>
    <w:rsid w:val="7B131366"/>
    <w:rsid w:val="7F067FD2"/>
    <w:rsid w:val="7F7F5117"/>
    <w:rsid w:val="7F8F1F14"/>
    <w:rsid w:val="7F8F41F5"/>
    <w:rsid w:val="7FCD3A4F"/>
    <w:rsid w:val="F5FB8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1">
    <w:name w:val="页眉 字符"/>
    <w:basedOn w:val="7"/>
    <w:link w:val="4"/>
    <w:qFormat/>
    <w:uiPriority w:val="0"/>
    <w:rPr>
      <w:rFonts w:ascii="Times New Roman" w:hAnsi="Times New Roman"/>
      <w:kern w:val="2"/>
      <w:sz w:val="18"/>
      <w:szCs w:val="18"/>
    </w:rPr>
  </w:style>
  <w:style w:type="character" w:customStyle="1" w:styleId="12">
    <w:name w:val="页脚 字符"/>
    <w:basedOn w:val="7"/>
    <w:link w:val="3"/>
    <w:qFormat/>
    <w:uiPriority w:val="0"/>
    <w:rPr>
      <w:rFonts w:ascii="Times New Roman" w:hAnsi="Times New Roman"/>
      <w:kern w:val="2"/>
      <w:sz w:val="18"/>
      <w:szCs w:val="18"/>
    </w:rPr>
  </w:style>
  <w:style w:type="character" w:customStyle="1" w:styleId="13">
    <w:name w:val="未处理的提及1"/>
    <w:basedOn w:val="7"/>
    <w:unhideWhenUsed/>
    <w:qFormat/>
    <w:uiPriority w:val="99"/>
    <w:rPr>
      <w:color w:val="605E5C"/>
      <w:shd w:val="clear" w:color="auto" w:fill="E1DFDD"/>
    </w:rPr>
  </w:style>
  <w:style w:type="character" w:customStyle="1" w:styleId="14">
    <w:name w:val="批注框文本 字符"/>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5383</Words>
  <Characters>879</Characters>
  <Lines>7</Lines>
  <Paragraphs>12</Paragraphs>
  <TotalTime>8</TotalTime>
  <ScaleCrop>false</ScaleCrop>
  <LinksUpToDate>false</LinksUpToDate>
  <CharactersWithSpaces>6250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2019-04-10T12:21:00Z</dcterms:created>
  <dc:creator>刘碧波</dc:creator>
  <cp:lastModifiedBy>admin1001</cp:lastModifiedBy>
  <cp:lastPrinted>2022-05-28T10:45:00Z</cp:lastPrinted>
  <dcterms:modified xsi:type="dcterms:W3CDTF">2022-05-31T10:28:22Z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