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ascii="黑体" w:hAnsi="黑体" w:eastAsia="黑体" w:cs="Arial"/>
          <w:kern w:val="0"/>
          <w:szCs w:val="32"/>
        </w:rPr>
      </w:pPr>
      <w:bookmarkStart w:id="0" w:name="_GoBack"/>
      <w:bookmarkEnd w:id="0"/>
      <w:r>
        <w:rPr>
          <w:rFonts w:hint="eastAsia" w:ascii="黑体" w:hAnsi="黑体" w:eastAsia="黑体" w:cs="Arial"/>
          <w:kern w:val="0"/>
          <w:szCs w:val="32"/>
        </w:rPr>
        <w:t>附件4</w:t>
      </w:r>
    </w:p>
    <w:p>
      <w:pPr>
        <w:spacing w:line="560" w:lineRule="exact"/>
        <w:ind w:firstLine="832"/>
        <w:jc w:val="center"/>
        <w:rPr>
          <w:rFonts w:ascii="方正小标宋简体" w:hAnsi="方正小标宋简体" w:eastAsia="方正小标宋简体" w:cs="方正小标宋简体"/>
          <w:spacing w:val="-12"/>
          <w:sz w:val="44"/>
          <w:szCs w:val="44"/>
        </w:rPr>
      </w:pPr>
      <w:r>
        <w:rPr>
          <w:rFonts w:hint="eastAsia" w:ascii="华文中宋" w:hAnsi="华文中宋" w:eastAsia="华文中宋" w:cs="华文中宋"/>
          <w:spacing w:val="-12"/>
          <w:sz w:val="44"/>
          <w:szCs w:val="44"/>
        </w:rPr>
        <w:t>部分不合格项目小知识</w:t>
      </w:r>
    </w:p>
    <w:p>
      <w:pPr>
        <w:pStyle w:val="2"/>
        <w:ind w:left="640" w:firstLine="480"/>
      </w:pPr>
    </w:p>
    <w:p>
      <w:pPr>
        <w:keepNext w:val="0"/>
        <w:keepLines w:val="0"/>
        <w:pageBreakBefore w:val="0"/>
        <w:kinsoku/>
        <w:wordWrap/>
        <w:overflowPunct/>
        <w:topLinePunct w:val="0"/>
        <w:autoSpaceDE/>
        <w:autoSpaceDN/>
        <w:bidi w:val="0"/>
        <w:adjustRightInd/>
        <w:snapToGrid/>
        <w:spacing w:line="560" w:lineRule="exact"/>
        <w:ind w:firstLine="643"/>
        <w:textAlignment w:val="auto"/>
        <w:rPr>
          <w:rFonts w:ascii="黑体" w:hAnsi="黑体" w:eastAsia="黑体" w:cs="黑体"/>
          <w:b w:val="0"/>
          <w:bCs w:val="0"/>
          <w:szCs w:val="32"/>
        </w:rPr>
      </w:pPr>
      <w:r>
        <w:rPr>
          <w:rFonts w:hint="eastAsia" w:ascii="黑体" w:hAnsi="黑体" w:eastAsia="黑体" w:cs="黑体"/>
          <w:b w:val="0"/>
          <w:bCs w:val="0"/>
          <w:szCs w:val="32"/>
        </w:rPr>
        <w:t>一、不合格项目小知识</w:t>
      </w:r>
    </w:p>
    <w:p>
      <w:pPr>
        <w:keepNext w:val="0"/>
        <w:keepLines w:val="0"/>
        <w:pageBreakBefore w:val="0"/>
        <w:kinsoku/>
        <w:wordWrap/>
        <w:overflowPunct/>
        <w:topLinePunct w:val="0"/>
        <w:autoSpaceDE/>
        <w:autoSpaceDN/>
        <w:bidi w:val="0"/>
        <w:adjustRightInd/>
        <w:snapToGrid/>
        <w:spacing w:line="560" w:lineRule="exact"/>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rPr>
        <w:t>（</w:t>
      </w:r>
      <w:r>
        <w:rPr>
          <w:rFonts w:hint="eastAsia" w:ascii="楷体_GB2312" w:hAnsi="宋体" w:eastAsia="楷体_GB2312" w:cs="宋体"/>
          <w:b/>
          <w:kern w:val="0"/>
          <w:sz w:val="32"/>
          <w:szCs w:val="32"/>
          <w:lang w:eastAsia="zh-CN"/>
        </w:rPr>
        <w:t>一</w:t>
      </w:r>
      <w:r>
        <w:rPr>
          <w:rFonts w:hint="eastAsia" w:ascii="楷体_GB2312" w:hAnsi="宋体" w:eastAsia="楷体_GB2312" w:cs="宋体"/>
          <w:b/>
          <w:kern w:val="0"/>
          <w:sz w:val="32"/>
          <w:szCs w:val="32"/>
        </w:rPr>
        <w:t xml:space="preserve">）乙基麦芽酚   </w:t>
      </w:r>
    </w:p>
    <w:p>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楷体_GB2312" w:hAnsi="楷体" w:eastAsia="仿宋_GB2312" w:cs="楷体"/>
          <w:b/>
          <w:bCs/>
          <w:szCs w:val="32"/>
          <w:shd w:val="clear" w:color="auto" w:fill="FFFFFF"/>
          <w:lang w:val="en-US" w:eastAsia="zh-CN"/>
        </w:rPr>
      </w:pPr>
      <w:r>
        <w:rPr>
          <w:rFonts w:hint="eastAsia" w:ascii="仿宋_GB2312" w:hAnsi="仿宋" w:eastAsia="仿宋_GB2312"/>
          <w:sz w:val="32"/>
          <w:szCs w:val="32"/>
        </w:rPr>
        <w:t>乙基麦芽酚是一种香味增效剂，对食品的香味改善和增强具有显著效果，且能延长食品的储存期。《食品安全国家标准 食品添加剂使用标准》（GB 2760-2014）中规定食用调和油中不得使用乙基麦芽酚。食用植物油中检出微量乙基麦芽酚并不会对人体健康造成伤害，</w:t>
      </w:r>
      <w:r>
        <w:rPr>
          <w:rFonts w:hint="eastAsia" w:ascii="仿宋_GB2312" w:hAnsi="仿宋" w:eastAsia="仿宋_GB2312" w:cs="华文中宋"/>
          <w:kern w:val="2"/>
          <w:sz w:val="32"/>
          <w:szCs w:val="32"/>
        </w:rPr>
        <w:t>但超范围使用香料提示油品可能存在品质不良或掺杂掺伪的情况。</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w:t>
      </w:r>
      <w:r>
        <w:rPr>
          <w:rFonts w:hint="eastAsia" w:ascii="楷体_GB2312" w:hAnsi="宋体" w:eastAsia="楷体_GB2312" w:cs="宋体"/>
          <w:b/>
          <w:kern w:val="0"/>
          <w:sz w:val="32"/>
          <w:szCs w:val="32"/>
          <w:lang w:eastAsia="zh-CN"/>
        </w:rPr>
        <w:t>二</w:t>
      </w:r>
      <w:r>
        <w:rPr>
          <w:rFonts w:hint="eastAsia" w:ascii="楷体_GB2312" w:hAnsi="宋体" w:eastAsia="楷体_GB2312" w:cs="宋体"/>
          <w:b/>
          <w:kern w:val="0"/>
          <w:sz w:val="32"/>
          <w:szCs w:val="32"/>
        </w:rPr>
        <w:t>）二氧化硫残留量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食品中的二氧化硫残留通常是指二氧化硫、硫磺以及焦亚硫酸钠、焦亚硫酸钾、亚硫酸钠</w:t>
      </w:r>
      <w:r>
        <w:rPr>
          <w:rFonts w:hint="eastAsia" w:ascii="仿宋_GB2312" w:hAnsi="仿宋" w:eastAsia="仿宋_GB2312" w:cs="宋体"/>
          <w:kern w:val="0"/>
          <w:sz w:val="32"/>
          <w:szCs w:val="32"/>
        </w:rPr>
        <w:t>、亚</w:t>
      </w:r>
      <w:r>
        <w:rPr>
          <w:rFonts w:hint="eastAsia" w:ascii="仿宋_GB2312" w:hAnsi="仿宋" w:eastAsia="仿宋_GB2312" w:cs="宋体"/>
          <w:color w:val="000000"/>
          <w:kern w:val="0"/>
          <w:sz w:val="32"/>
          <w:szCs w:val="32"/>
        </w:rPr>
        <w:t>硫酸氢钠、低亚硫酸钠等无机亚硫酸盐残留的统称。</w:t>
      </w:r>
      <w:r>
        <w:rPr>
          <w:rFonts w:hint="eastAsia" w:ascii="仿宋_GB2312" w:hAnsi="仿宋" w:eastAsia="仿宋_GB2312"/>
          <w:sz w:val="32"/>
          <w:szCs w:val="32"/>
        </w:rPr>
        <w:t>《食品安全国家标准 食品添加剂使用标准》（GB 2760-2014）中规定，蔬菜干制品中二氧化硫残留量应≤0.2g/kg。</w:t>
      </w:r>
      <w:r>
        <w:rPr>
          <w:rFonts w:hint="eastAsia" w:ascii="仿宋_GB2312" w:hAnsi="仿宋" w:eastAsia="仿宋_GB2312" w:cs="宋体"/>
          <w:kern w:val="0"/>
          <w:sz w:val="32"/>
          <w:szCs w:val="32"/>
        </w:rPr>
        <w:t>对二氧化硫有过敏反应的人（如哮喘病患者等</w:t>
      </w:r>
      <w:r>
        <w:rPr>
          <w:rFonts w:hint="eastAsia" w:ascii="仿宋_GB2312" w:hAnsi="仿宋" w:eastAsia="仿宋_GB2312" w:cs="宋体"/>
          <w:color w:val="000000"/>
          <w:kern w:val="0"/>
          <w:sz w:val="32"/>
          <w:szCs w:val="32"/>
        </w:rPr>
        <w:t>）</w:t>
      </w:r>
      <w:r>
        <w:rPr>
          <w:rFonts w:hint="eastAsia" w:ascii="仿宋_GB2312" w:hAnsi="仿宋" w:eastAsia="仿宋_GB2312" w:cs="宋体"/>
          <w:kern w:val="0"/>
          <w:sz w:val="32"/>
          <w:szCs w:val="32"/>
        </w:rPr>
        <w:t>若食用二氧化硫超标的食物</w:t>
      </w:r>
      <w:r>
        <w:rPr>
          <w:rFonts w:hint="eastAsia" w:ascii="仿宋_GB2312" w:hAnsi="仿宋" w:eastAsia="仿宋_GB2312" w:cs="宋体"/>
          <w:color w:val="000000"/>
          <w:kern w:val="0"/>
          <w:sz w:val="32"/>
          <w:szCs w:val="32"/>
        </w:rPr>
        <w:t>，可能会出现气喘、头痛或恶心等过敏症状。因此过敏体质等人群应向食物供应者清楚说明自己的情况和需要，进食后如感到不适，应立即就医。</w:t>
      </w:r>
    </w:p>
    <w:p>
      <w:pPr>
        <w:keepNext w:val="0"/>
        <w:keepLines w:val="0"/>
        <w:pageBreakBefore w:val="0"/>
        <w:kinsoku/>
        <w:wordWrap/>
        <w:overflowPunct/>
        <w:topLinePunct w:val="0"/>
        <w:autoSpaceDE/>
        <w:autoSpaceDN/>
        <w:bidi w:val="0"/>
        <w:adjustRightInd/>
        <w:snapToGrid/>
        <w:spacing w:line="560" w:lineRule="exact"/>
        <w:ind w:firstLine="481" w:firstLineChars="150"/>
        <w:textAlignment w:val="auto"/>
        <w:rPr>
          <w:rFonts w:ascii="楷体_GB2312" w:hAnsi="楷体" w:eastAsia="楷体_GB2312"/>
          <w:b/>
          <w:color w:val="000000" w:themeColor="text1"/>
          <w:sz w:val="32"/>
          <w:szCs w:val="32"/>
          <w14:textFill>
            <w14:solidFill>
              <w14:schemeClr w14:val="tx1"/>
            </w14:solidFill>
          </w14:textFill>
        </w:rPr>
      </w:pPr>
      <w:r>
        <w:rPr>
          <w:rFonts w:hint="eastAsia" w:ascii="楷体_GB2312" w:hAnsi="楷体" w:eastAsia="楷体_GB2312" w:cs="仿宋_GB2312"/>
          <w:b/>
          <w:sz w:val="32"/>
          <w:szCs w:val="32"/>
          <w:lang w:eastAsia="zh-CN"/>
        </w:rPr>
        <w:t>（三）</w:t>
      </w:r>
      <w:r>
        <w:rPr>
          <w:rFonts w:hint="eastAsia" w:ascii="楷体_GB2312" w:hAnsi="楷体" w:eastAsia="楷体_GB2312"/>
          <w:b/>
          <w:color w:val="000000" w:themeColor="text1"/>
          <w:sz w:val="32"/>
          <w:szCs w:val="32"/>
          <w14:textFill>
            <w14:solidFill>
              <w14:schemeClr w14:val="tx1"/>
            </w14:solidFill>
          </w14:textFill>
        </w:rPr>
        <w:t>菌落总数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olor w:val="000000" w:themeColor="text1"/>
          <w:sz w:val="32"/>
          <w:szCs w:val="32"/>
          <w14:textFill>
            <w14:solidFill>
              <w14:schemeClr w14:val="tx1"/>
            </w14:solidFill>
          </w14:textFill>
        </w:rPr>
        <w:t>菌落总数是指示性微生物指标，并非致病菌指标，主要用来评价食品清洁度，反映食品在生产过程中是否符合卫生要求，一定程度上标志着食品卫生质量的优劣。</w:t>
      </w:r>
      <w:r>
        <w:rPr>
          <w:rFonts w:hint="eastAsia" w:ascii="仿宋_GB2312" w:hAnsi="仿宋" w:eastAsia="仿宋_GB2312" w:cs="仿宋"/>
          <w:sz w:val="32"/>
          <w:szCs w:val="32"/>
        </w:rPr>
        <w:t>《广东省食品安全地方标准 非预包装即食食品微生物限量》（DBS 44-2016）中规定，</w:t>
      </w:r>
      <w:r>
        <w:rPr>
          <w:rFonts w:hint="eastAsia" w:ascii="仿宋_GB2312" w:hAnsi="仿宋" w:cs="仿宋"/>
          <w:sz w:val="32"/>
          <w:szCs w:val="32"/>
          <w:lang w:eastAsia="zh-CN"/>
        </w:rPr>
        <w:t>第二类食品（熟肉制品和熟制水产品）</w:t>
      </w:r>
      <w:r>
        <w:rPr>
          <w:rFonts w:hint="eastAsia" w:ascii="仿宋_GB2312" w:hAnsi="仿宋" w:eastAsia="仿宋_GB2312" w:cs="仿宋"/>
          <w:sz w:val="32"/>
          <w:szCs w:val="32"/>
        </w:rPr>
        <w:t>菌落总数＜10</w:t>
      </w:r>
      <w:r>
        <w:rPr>
          <w:rFonts w:hint="eastAsia" w:ascii="仿宋_GB2312" w:hAnsi="仿宋" w:cs="仿宋"/>
          <w:sz w:val="32"/>
          <w:szCs w:val="32"/>
          <w:vertAlign w:val="superscript"/>
          <w:lang w:val="en-US" w:eastAsia="zh-CN"/>
        </w:rPr>
        <w:t>5</w:t>
      </w:r>
      <w:r>
        <w:rPr>
          <w:rFonts w:hint="eastAsia" w:ascii="仿宋_GB2312" w:hAnsi="仿宋" w:eastAsia="仿宋_GB2312" w:cs="仿宋"/>
          <w:sz w:val="32"/>
          <w:szCs w:val="32"/>
        </w:rPr>
        <w:t xml:space="preserve"> CFU/g为满意，10</w:t>
      </w:r>
      <w:r>
        <w:rPr>
          <w:rFonts w:hint="eastAsia" w:ascii="仿宋_GB2312" w:hAnsi="仿宋" w:cs="仿宋"/>
          <w:sz w:val="32"/>
          <w:szCs w:val="32"/>
          <w:vertAlign w:val="superscript"/>
          <w:lang w:val="en-US" w:eastAsia="zh-CN"/>
        </w:rPr>
        <w:t>5</w:t>
      </w:r>
      <w:r>
        <w:rPr>
          <w:rFonts w:hint="eastAsia" w:ascii="仿宋_GB2312" w:hAnsi="仿宋" w:eastAsia="仿宋_GB2312" w:cs="仿宋"/>
          <w:sz w:val="32"/>
          <w:szCs w:val="32"/>
        </w:rPr>
        <w:t xml:space="preserve"> -＜10</w:t>
      </w:r>
      <w:r>
        <w:rPr>
          <w:rFonts w:hint="eastAsia" w:ascii="仿宋_GB2312" w:hAnsi="仿宋" w:cs="仿宋"/>
          <w:sz w:val="32"/>
          <w:szCs w:val="32"/>
          <w:vertAlign w:val="superscript"/>
          <w:lang w:val="en-US" w:eastAsia="zh-CN"/>
        </w:rPr>
        <w:t>6</w:t>
      </w:r>
      <w:r>
        <w:rPr>
          <w:rFonts w:hint="eastAsia" w:ascii="仿宋_GB2312" w:hAnsi="仿宋" w:eastAsia="仿宋_GB2312" w:cs="仿宋"/>
          <w:sz w:val="32"/>
          <w:szCs w:val="32"/>
        </w:rPr>
        <w:t>CFU/g为可接受，≥10</w:t>
      </w:r>
      <w:r>
        <w:rPr>
          <w:rFonts w:hint="eastAsia" w:ascii="仿宋_GB2312" w:hAnsi="仿宋" w:cs="仿宋"/>
          <w:sz w:val="32"/>
          <w:szCs w:val="32"/>
          <w:vertAlign w:val="superscript"/>
          <w:lang w:val="en-US" w:eastAsia="zh-CN"/>
        </w:rPr>
        <w:t>6</w:t>
      </w:r>
      <w:r>
        <w:rPr>
          <w:rFonts w:hint="eastAsia" w:ascii="仿宋_GB2312" w:hAnsi="仿宋" w:eastAsia="仿宋_GB2312" w:cs="仿宋"/>
          <w:sz w:val="32"/>
          <w:szCs w:val="32"/>
        </w:rPr>
        <w:t>CFU/g为不合格。</w:t>
      </w:r>
      <w:r>
        <w:rPr>
          <w:rFonts w:hint="eastAsia" w:ascii="仿宋_GB2312" w:hAnsi="仿宋" w:eastAsia="仿宋_GB2312"/>
          <w:sz w:val="32"/>
          <w:szCs w:val="32"/>
        </w:rPr>
        <w:t xml:space="preserve">《食品安全国家标准 </w:t>
      </w:r>
      <w:r>
        <w:rPr>
          <w:rFonts w:hint="eastAsia" w:ascii="仿宋_GB2312" w:hAnsi="仿宋"/>
          <w:sz w:val="32"/>
          <w:szCs w:val="32"/>
          <w:lang w:eastAsia="zh-CN"/>
        </w:rPr>
        <w:t>动物性水产制品</w:t>
      </w:r>
      <w:r>
        <w:rPr>
          <w:rFonts w:hint="eastAsia" w:ascii="仿宋_GB2312" w:hAnsi="仿宋" w:eastAsia="仿宋_GB2312"/>
          <w:sz w:val="32"/>
          <w:szCs w:val="32"/>
        </w:rPr>
        <w:t xml:space="preserve">》（GB </w:t>
      </w:r>
      <w:r>
        <w:rPr>
          <w:rFonts w:hint="eastAsia" w:ascii="仿宋_GB2312" w:hAnsi="仿宋"/>
          <w:sz w:val="32"/>
          <w:szCs w:val="32"/>
          <w:lang w:val="en-US" w:eastAsia="zh-CN"/>
        </w:rPr>
        <w:t>10136</w:t>
      </w:r>
      <w:r>
        <w:rPr>
          <w:rFonts w:hint="eastAsia" w:ascii="仿宋_GB2312" w:hAnsi="仿宋" w:eastAsia="仿宋_GB2312"/>
          <w:sz w:val="32"/>
          <w:szCs w:val="32"/>
        </w:rPr>
        <w:t>-201</w:t>
      </w:r>
      <w:r>
        <w:rPr>
          <w:rFonts w:hint="eastAsia" w:ascii="仿宋_GB2312" w:hAnsi="仿宋"/>
          <w:sz w:val="32"/>
          <w:szCs w:val="32"/>
          <w:lang w:val="en-US" w:eastAsia="zh-CN"/>
        </w:rPr>
        <w:t>5</w:t>
      </w:r>
      <w:r>
        <w:rPr>
          <w:rFonts w:hint="eastAsia" w:ascii="仿宋_GB2312" w:hAnsi="仿宋" w:eastAsia="仿宋_GB2312"/>
          <w:sz w:val="32"/>
          <w:szCs w:val="32"/>
        </w:rPr>
        <w:t>）中规定，</w:t>
      </w:r>
      <w:r>
        <w:rPr>
          <w:rFonts w:hint="eastAsia" w:ascii="仿宋_GB2312" w:hAnsi="仿宋" w:eastAsia="仿宋_GB2312"/>
          <w:color w:val="000000" w:themeColor="text1"/>
          <w:sz w:val="32"/>
          <w:szCs w:val="32"/>
          <w14:textFill>
            <w14:solidFill>
              <w14:schemeClr w14:val="tx1"/>
            </w14:solidFill>
          </w14:textFill>
        </w:rPr>
        <w:t>从一批产品中采集5个样品，若5个样品的检验结果均小于或等于m值（≤5×10</w:t>
      </w:r>
      <w:r>
        <w:rPr>
          <w:rFonts w:hint="eastAsia" w:ascii="仿宋_GB2312" w:hAnsi="仿宋"/>
          <w:color w:val="000000" w:themeColor="text1"/>
          <w:sz w:val="32"/>
          <w:szCs w:val="32"/>
          <w:vertAlign w:val="superscript"/>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CFU/g），则这种情况是允许的；若≤2个样品的结果（X）位于m值和M值之间（5×10</w:t>
      </w:r>
      <w:r>
        <w:rPr>
          <w:rFonts w:hint="eastAsia" w:ascii="仿宋_GB2312" w:hAnsi="仿宋"/>
          <w:color w:val="000000" w:themeColor="text1"/>
          <w:sz w:val="32"/>
          <w:szCs w:val="32"/>
          <w:vertAlign w:val="superscript"/>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CFU/g＜X≤10</w:t>
      </w:r>
      <w:r>
        <w:rPr>
          <w:rFonts w:hint="eastAsia" w:ascii="仿宋_GB2312" w:hAnsi="仿宋"/>
          <w:color w:val="000000" w:themeColor="text1"/>
          <w:sz w:val="32"/>
          <w:szCs w:val="32"/>
          <w:vertAlign w:val="superscript"/>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CFU/g）,则这种情况也是允许的；若有3个及以上的样品检验结果位于m值和M值之间，则这种情况是不允许的；若有任一样品的检验结果大于M值（＞10</w:t>
      </w:r>
      <w:r>
        <w:rPr>
          <w:rFonts w:hint="eastAsia" w:ascii="仿宋_GB2312" w:hAnsi="仿宋"/>
          <w:color w:val="000000" w:themeColor="text1"/>
          <w:sz w:val="32"/>
          <w:szCs w:val="32"/>
          <w:vertAlign w:val="superscript"/>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CFU/g），则这种情况也是不允许的。</w:t>
      </w:r>
      <w:r>
        <w:rPr>
          <w:rFonts w:hint="eastAsia" w:ascii="仿宋_GB2312" w:hAnsi="仿宋" w:eastAsia="仿宋_GB2312"/>
          <w:sz w:val="32"/>
          <w:szCs w:val="32"/>
        </w:rPr>
        <w:t>食品的菌落总数超标，说明其产品的卫生状况达不到基本的卫生要求，将会破坏食品的营养成分，加速食品的腐败变质，使食品失去食用价值。消费者食用菌落总数</w:t>
      </w:r>
      <w:r>
        <w:rPr>
          <w:rFonts w:hint="eastAsia" w:ascii="仿宋_GB2312" w:hAnsi="仿宋" w:eastAsia="仿宋_GB2312"/>
          <w:color w:val="000000" w:themeColor="text1"/>
          <w:sz w:val="32"/>
          <w:szCs w:val="32"/>
          <w14:textFill>
            <w14:solidFill>
              <w14:schemeClr w14:val="tx1"/>
            </w14:solidFill>
          </w14:textFill>
        </w:rPr>
        <w:t>超标严重的食品，容易患痢疾等肠道疾病，会引起呕吐、腹泻等症状。</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lang w:eastAsia="zh-CN"/>
        </w:rPr>
        <w:t>（四）</w:t>
      </w:r>
      <w:r>
        <w:rPr>
          <w:rFonts w:ascii="楷体_GB2312" w:hAnsi="宋体" w:eastAsia="楷体_GB2312" w:cs="宋体"/>
          <w:b/>
          <w:kern w:val="0"/>
          <w:sz w:val="32"/>
          <w:szCs w:val="32"/>
        </w:rPr>
        <w:t>苯甲酸及其钠盐（以苯甲酸计）</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仿宋" w:eastAsia="仿宋_GB2312" w:cs="宋体"/>
          <w:kern w:val="0"/>
          <w:sz w:val="32"/>
          <w:szCs w:val="32"/>
          <w:lang w:val="zh-CN"/>
        </w:rPr>
      </w:pPr>
      <w:r>
        <w:rPr>
          <w:rFonts w:ascii="宋体" w:hAnsi="宋体" w:cs="宋体"/>
          <w:kern w:val="0"/>
          <w:sz w:val="24"/>
          <w:szCs w:val="24"/>
        </w:rPr>
        <w:t> </w:t>
      </w:r>
      <w:r>
        <w:rPr>
          <w:rFonts w:ascii="仿宋_GB2312" w:hAnsi="仿宋" w:eastAsia="仿宋_GB2312" w:cs="宋体"/>
          <w:kern w:val="0"/>
          <w:sz w:val="32"/>
          <w:szCs w:val="32"/>
          <w:lang w:val="zh-CN"/>
        </w:rPr>
        <w:t>苯甲酸及其钠盐是食品工业中常见的防腐保鲜剂，对霉菌、酵母和细菌有较好的抑制作用。《食品安全国家标准 食品添加剂使用标准》（GB2760—2014）中规定，苯甲酸及其钠盐（以苯甲酸计）在腌渍的蔬菜中最大使用量为1.0g/kg。苯甲酸及其钠盐的安全性较高，少量苯甲酸对人体无毒害，可随尿液排出体外，在人体内不会蓄积。若长期过量食入苯甲酸超标的食品可能会对肝脏功能产生一定影响。</w:t>
      </w:r>
    </w:p>
    <w:p>
      <w:pPr>
        <w:keepNext w:val="0"/>
        <w:keepLines w:val="0"/>
        <w:pageBreakBefore w:val="0"/>
        <w:kinsoku/>
        <w:wordWrap/>
        <w:overflowPunct/>
        <w:topLinePunct w:val="0"/>
        <w:autoSpaceDE/>
        <w:autoSpaceDN/>
        <w:bidi w:val="0"/>
        <w:adjustRightInd/>
        <w:snapToGrid/>
        <w:spacing w:line="560" w:lineRule="exact"/>
        <w:ind w:firstLine="803" w:firstLineChars="250"/>
        <w:textAlignment w:val="auto"/>
        <w:rPr>
          <w:rFonts w:ascii="楷体_GB2312" w:hAnsi="楷体" w:eastAsia="楷体_GB2312" w:cs="仿宋_GB2312"/>
          <w:b/>
          <w:sz w:val="32"/>
          <w:szCs w:val="32"/>
        </w:rPr>
      </w:pPr>
      <w:r>
        <w:rPr>
          <w:rFonts w:hint="eastAsia" w:ascii="楷体_GB2312" w:hAnsi="楷体" w:eastAsia="楷体_GB2312" w:cs="仿宋_GB2312"/>
          <w:b/>
          <w:color w:val="000000" w:themeColor="text1"/>
          <w:sz w:val="32"/>
          <w:szCs w:val="32"/>
          <w14:textFill>
            <w14:solidFill>
              <w14:schemeClr w14:val="tx1"/>
            </w14:solidFill>
          </w14:textFill>
        </w:rPr>
        <w:t>（</w:t>
      </w:r>
      <w:r>
        <w:rPr>
          <w:rFonts w:hint="eastAsia" w:ascii="楷体_GB2312" w:hAnsi="楷体" w:eastAsia="楷体_GB2312" w:cs="仿宋_GB2312"/>
          <w:b/>
          <w:color w:val="000000" w:themeColor="text1"/>
          <w:sz w:val="32"/>
          <w:szCs w:val="32"/>
          <w:lang w:eastAsia="zh-CN"/>
          <w14:textFill>
            <w14:solidFill>
              <w14:schemeClr w14:val="tx1"/>
            </w14:solidFill>
          </w14:textFill>
        </w:rPr>
        <w:t>五</w:t>
      </w:r>
      <w:r>
        <w:rPr>
          <w:rFonts w:hint="eastAsia" w:ascii="楷体_GB2312" w:hAnsi="楷体" w:eastAsia="楷体_GB2312" w:cs="仿宋_GB2312"/>
          <w:b/>
          <w:color w:val="000000" w:themeColor="text1"/>
          <w:sz w:val="32"/>
          <w:szCs w:val="32"/>
          <w14:textFill>
            <w14:solidFill>
              <w14:schemeClr w14:val="tx1"/>
            </w14:solidFill>
          </w14:textFill>
        </w:rPr>
        <w:t>）</w:t>
      </w:r>
      <w:r>
        <w:rPr>
          <w:rFonts w:hint="eastAsia" w:ascii="楷体_GB2312" w:hAnsi="楷体" w:eastAsia="楷体_GB2312" w:cs="仿宋_GB2312"/>
          <w:b/>
          <w:sz w:val="32"/>
          <w:szCs w:val="32"/>
        </w:rPr>
        <w:t>大肠菌群</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szCs w:val="24"/>
        </w:rPr>
      </w:pPr>
      <w:r>
        <w:rPr>
          <w:rFonts w:hint="eastAsia" w:ascii="仿宋_GB2312" w:hAnsi="仿宋" w:eastAsia="仿宋_GB2312"/>
          <w:sz w:val="32"/>
          <w:szCs w:val="32"/>
        </w:rPr>
        <w:t xml:space="preserve">大肠菌群是国内外通用的食品污染常用指示菌之一。食品中检出大肠菌群，提示被致病菌（如沙门氏菌、志贺氏菌、致病性大肠杆菌）污染的可能性较大。《食品安全国家标准 </w:t>
      </w:r>
      <w:r>
        <w:rPr>
          <w:rFonts w:hint="eastAsia" w:ascii="仿宋_GB2312" w:hAnsi="仿宋"/>
          <w:sz w:val="32"/>
          <w:szCs w:val="32"/>
          <w:lang w:eastAsia="zh-CN"/>
        </w:rPr>
        <w:t>动物性水产制品</w:t>
      </w:r>
      <w:r>
        <w:rPr>
          <w:rFonts w:hint="eastAsia" w:ascii="仿宋_GB2312" w:hAnsi="仿宋" w:eastAsia="仿宋_GB2312"/>
          <w:sz w:val="32"/>
          <w:szCs w:val="32"/>
        </w:rPr>
        <w:t xml:space="preserve">》（GB </w:t>
      </w:r>
      <w:r>
        <w:rPr>
          <w:rFonts w:hint="eastAsia" w:ascii="仿宋_GB2312" w:hAnsi="仿宋"/>
          <w:sz w:val="32"/>
          <w:szCs w:val="32"/>
          <w:lang w:val="en-US" w:eastAsia="zh-CN"/>
        </w:rPr>
        <w:t>10136</w:t>
      </w:r>
      <w:r>
        <w:rPr>
          <w:rFonts w:hint="eastAsia" w:ascii="仿宋_GB2312" w:hAnsi="仿宋" w:eastAsia="仿宋_GB2312"/>
          <w:sz w:val="32"/>
          <w:szCs w:val="32"/>
        </w:rPr>
        <w:t>-201</w:t>
      </w:r>
      <w:r>
        <w:rPr>
          <w:rFonts w:hint="eastAsia" w:ascii="仿宋_GB2312" w:hAnsi="仿宋"/>
          <w:sz w:val="32"/>
          <w:szCs w:val="32"/>
          <w:lang w:val="en-US" w:eastAsia="zh-CN"/>
        </w:rPr>
        <w:t>5</w:t>
      </w:r>
      <w:r>
        <w:rPr>
          <w:rFonts w:hint="eastAsia" w:ascii="仿宋_GB2312" w:hAnsi="仿宋" w:eastAsia="仿宋_GB2312"/>
          <w:sz w:val="32"/>
          <w:szCs w:val="32"/>
        </w:rPr>
        <w:t>）中规定，从一批产品中采集5个样品，若5个样品的检验结果均小于或等于m值（≤</w:t>
      </w:r>
      <w:r>
        <w:rPr>
          <w:rFonts w:hint="eastAsia" w:ascii="仿宋_GB2312" w:hAnsi="仿宋" w:eastAsia="仿宋_GB2312"/>
          <w:color w:val="000000"/>
          <w:sz w:val="32"/>
          <w:szCs w:val="32"/>
        </w:rPr>
        <w:t>10</w:t>
      </w:r>
      <w:r>
        <w:rPr>
          <w:rFonts w:hint="eastAsia" w:ascii="仿宋_GB2312" w:hAnsi="仿宋" w:eastAsia="仿宋_GB2312"/>
          <w:sz w:val="32"/>
          <w:szCs w:val="32"/>
        </w:rPr>
        <w:t>CFU/g），则这种情况是允许的；若≤2个样品的结果（X）位于m值和M值之间（</w:t>
      </w:r>
      <w:r>
        <w:rPr>
          <w:rFonts w:hint="eastAsia" w:ascii="仿宋_GB2312" w:hAnsi="仿宋" w:eastAsia="仿宋_GB2312"/>
          <w:color w:val="000000"/>
          <w:sz w:val="32"/>
          <w:szCs w:val="32"/>
        </w:rPr>
        <w:t>10</w:t>
      </w:r>
      <w:r>
        <w:rPr>
          <w:rFonts w:hint="eastAsia" w:ascii="仿宋_GB2312" w:hAnsi="仿宋" w:eastAsia="仿宋_GB2312"/>
          <w:sz w:val="32"/>
          <w:szCs w:val="32"/>
        </w:rPr>
        <w:t>CFU/g＜X≤</w:t>
      </w:r>
      <w:r>
        <w:rPr>
          <w:rFonts w:hint="eastAsia" w:ascii="仿宋_GB2312" w:hAnsi="仿宋" w:eastAsia="仿宋_GB2312"/>
          <w:color w:val="000000"/>
          <w:sz w:val="32"/>
          <w:szCs w:val="32"/>
        </w:rPr>
        <w:t>10</w:t>
      </w:r>
      <w:r>
        <w:rPr>
          <w:rFonts w:hint="eastAsia" w:ascii="仿宋_GB2312" w:hAnsi="仿宋" w:eastAsia="仿宋_GB2312"/>
          <w:color w:val="000000"/>
          <w:sz w:val="32"/>
          <w:szCs w:val="32"/>
          <w:vertAlign w:val="superscript"/>
        </w:rPr>
        <w:t>2</w:t>
      </w:r>
      <w:r>
        <w:rPr>
          <w:rFonts w:hint="eastAsia" w:ascii="仿宋_GB2312" w:hAnsi="仿宋" w:eastAsia="仿宋_GB2312"/>
          <w:sz w:val="32"/>
          <w:szCs w:val="32"/>
        </w:rPr>
        <w:t>CFU/g）,则这种情况也是允许的；若有3个及以上的样品检验结果位于m值和M值之间，则这种情况是不允许的；若有任一样品的检验结果大于M值（＞</w:t>
      </w:r>
      <w:r>
        <w:rPr>
          <w:rFonts w:hint="eastAsia" w:ascii="仿宋_GB2312" w:hAnsi="仿宋" w:eastAsia="仿宋_GB2312"/>
          <w:color w:val="000000"/>
          <w:sz w:val="32"/>
          <w:szCs w:val="32"/>
        </w:rPr>
        <w:t>10</w:t>
      </w:r>
      <w:r>
        <w:rPr>
          <w:rFonts w:hint="eastAsia" w:ascii="仿宋_GB2312" w:hAnsi="仿宋" w:eastAsia="仿宋_GB2312"/>
          <w:color w:val="000000"/>
          <w:sz w:val="32"/>
          <w:szCs w:val="32"/>
          <w:vertAlign w:val="superscript"/>
        </w:rPr>
        <w:t>2</w:t>
      </w:r>
      <w:r>
        <w:rPr>
          <w:rFonts w:hint="eastAsia" w:ascii="仿宋_GB2312" w:hAnsi="仿宋" w:eastAsia="仿宋_GB2312"/>
          <w:sz w:val="32"/>
          <w:szCs w:val="32"/>
        </w:rPr>
        <w:t>CFU/g），则这种情况也是不允许的。</w:t>
      </w:r>
      <w:r>
        <w:rPr>
          <w:rFonts w:hint="eastAsia" w:ascii="仿宋_GB2312" w:hAnsi="仿宋" w:eastAsia="仿宋_GB2312" w:cs="宋体"/>
          <w:sz w:val="32"/>
          <w:szCs w:val="32"/>
        </w:rPr>
        <w:t>食品中检出大肠菌群不合格提示食品可能受到肠道致病菌污染，人食用后可能会出现呕吐、腹泻等消化道症状。</w:t>
      </w:r>
    </w:p>
    <w:p>
      <w:pPr>
        <w:keepNext w:val="0"/>
        <w:keepLines w:val="0"/>
        <w:pageBreakBefore w:val="0"/>
        <w:kinsoku/>
        <w:wordWrap/>
        <w:overflowPunct/>
        <w:topLinePunct w:val="0"/>
        <w:autoSpaceDE/>
        <w:autoSpaceDN/>
        <w:bidi w:val="0"/>
        <w:adjustRightInd/>
        <w:snapToGrid/>
        <w:spacing w:line="560" w:lineRule="exact"/>
        <w:ind w:left="0" w:leftChars="0" w:firstLine="642" w:firstLineChars="200"/>
        <w:textAlignment w:val="auto"/>
        <w:rPr>
          <w:rFonts w:hint="eastAsia" w:ascii="楷体_GB2312" w:hAnsi="楷体" w:eastAsia="楷体_GB2312" w:cs="仿宋_GB2312"/>
          <w:b/>
          <w:color w:val="000000" w:themeColor="text1"/>
          <w:sz w:val="32"/>
          <w:szCs w:val="32"/>
          <w:lang w:eastAsia="zh-CN"/>
          <w14:textFill>
            <w14:solidFill>
              <w14:schemeClr w14:val="tx1"/>
            </w14:solidFill>
          </w14:textFill>
        </w:rPr>
      </w:pPr>
      <w:r>
        <w:rPr>
          <w:rFonts w:hint="eastAsia" w:ascii="楷体_GB2312" w:hAnsi="楷体" w:eastAsia="楷体_GB2312" w:cs="仿宋_GB2312"/>
          <w:b/>
          <w:color w:val="000000" w:themeColor="text1"/>
          <w:sz w:val="32"/>
          <w:szCs w:val="32"/>
          <w:lang w:eastAsia="zh-CN"/>
          <w14:textFill>
            <w14:solidFill>
              <w14:schemeClr w14:val="tx1"/>
            </w14:solidFill>
          </w14:textFill>
        </w:rPr>
        <w:t>（六）啶虫脒</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zh-CN" w:eastAsia="zh-CN" w:bidi="ar-SA"/>
        </w:rPr>
        <w:t>啶虫脒属硝基亚甲基杂环类化合物，是一种新型杀虫剂。该产品具有较强的触杀和渗透作用，残效期长，对黄瓜、苹果树、柑橘树的蚜虫有较好的防治效果。《食品安全国家标准食品中农药最大残留限量》（GB 2763—201</w:t>
      </w:r>
      <w:r>
        <w:rPr>
          <w:rFonts w:hint="eastAsia" w:ascii="仿宋_GB2312" w:hAnsi="仿宋" w:eastAsia="仿宋_GB2312" w:cs="Times New Roman"/>
          <w:kern w:val="2"/>
          <w:sz w:val="32"/>
          <w:szCs w:val="32"/>
          <w:lang w:val="en-US" w:eastAsia="zh-CN" w:bidi="ar-SA"/>
        </w:rPr>
        <w:t>9</w:t>
      </w:r>
      <w:r>
        <w:rPr>
          <w:rFonts w:hint="eastAsia" w:ascii="仿宋_GB2312" w:hAnsi="仿宋" w:eastAsia="仿宋_GB2312" w:cs="Times New Roman"/>
          <w:kern w:val="2"/>
          <w:sz w:val="32"/>
          <w:szCs w:val="32"/>
          <w:lang w:val="zh-CN" w:eastAsia="zh-CN" w:bidi="ar-SA"/>
        </w:rPr>
        <w:t>）中规定，普通白菜中啶虫脒的最大残留限量为</w:t>
      </w:r>
      <w:r>
        <w:rPr>
          <w:rFonts w:hint="eastAsia" w:ascii="仿宋_GB2312" w:hAnsi="仿宋" w:eastAsia="仿宋_GB2312" w:cs="Times New Roman"/>
          <w:kern w:val="2"/>
          <w:sz w:val="32"/>
          <w:szCs w:val="32"/>
          <w:lang w:val="en-US" w:eastAsia="zh-CN" w:bidi="ar-SA"/>
        </w:rPr>
        <w:t>1</w:t>
      </w:r>
      <w:r>
        <w:rPr>
          <w:rFonts w:hint="eastAsia" w:ascii="仿宋_GB2312" w:hAnsi="仿宋" w:eastAsia="仿宋_GB2312" w:cs="Times New Roman"/>
          <w:kern w:val="2"/>
          <w:sz w:val="32"/>
          <w:szCs w:val="32"/>
          <w:lang w:val="zh-CN" w:eastAsia="zh-CN" w:bidi="ar-SA"/>
        </w:rPr>
        <w:t>mg/kg。啶虫脒对人畜低毒，少量的农药残留不会引起人体急性中毒，但长期食用农药残留超标的食品，对人体健康有一定影响。</w:t>
      </w:r>
    </w:p>
    <w:p>
      <w:pPr>
        <w:keepNext w:val="0"/>
        <w:keepLines w:val="0"/>
        <w:pageBreakBefore w:val="0"/>
        <w:kinsoku/>
        <w:wordWrap/>
        <w:overflowPunct/>
        <w:topLinePunct w:val="0"/>
        <w:autoSpaceDE/>
        <w:autoSpaceDN/>
        <w:bidi w:val="0"/>
        <w:adjustRightInd/>
        <w:snapToGrid/>
        <w:spacing w:line="560" w:lineRule="exact"/>
        <w:ind w:left="0" w:leftChars="0" w:firstLine="642" w:firstLineChars="200"/>
        <w:textAlignment w:val="auto"/>
        <w:rPr>
          <w:rFonts w:hint="eastAsia" w:ascii="楷体_GB2312" w:hAnsi="楷体" w:eastAsia="楷体_GB2312" w:cs="仿宋_GB2312"/>
          <w:b/>
          <w:color w:val="000000" w:themeColor="text1"/>
          <w:sz w:val="32"/>
          <w:szCs w:val="32"/>
          <w:lang w:eastAsia="zh-CN"/>
          <w14:textFill>
            <w14:solidFill>
              <w14:schemeClr w14:val="tx1"/>
            </w14:solidFill>
          </w14:textFill>
        </w:rPr>
      </w:pPr>
      <w:r>
        <w:rPr>
          <w:rFonts w:hint="eastAsia" w:ascii="楷体_GB2312" w:hAnsi="楷体" w:eastAsia="楷体_GB2312" w:cs="仿宋_GB2312"/>
          <w:b/>
          <w:color w:val="000000" w:themeColor="text1"/>
          <w:sz w:val="32"/>
          <w:szCs w:val="32"/>
          <w:lang w:eastAsia="zh-CN"/>
          <w14:textFill>
            <w14:solidFill>
              <w14:schemeClr w14:val="tx1"/>
            </w14:solidFill>
          </w14:textFill>
        </w:rPr>
        <w:t>（七）恩诺沙星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恩诺沙星为广谱杀菌药，对支原体有特效，对大肠杆菌、克雷白杆菌、沙门氏菌、变形杆菌、绿脓杆菌、嗜血杆菌、多杀性巴氏杆菌、溶血性巴氏杆菌、金葡菌、链球菌等都有杀菌效果。《食品安全国家标准 食品中兽药最大残留限量》（GB 31650-2019）中规定，恩诺沙星可用于猪、牛、羊、兔、鱼等食用畜禽、水产动物，其中水产品、家禽肌肉中恩诺沙星(以恩诺沙星与环丙沙星之和计)应≤100μg/kg、在产蛋期家禽中禁用（鸡蛋中不得检出）。老年人、儿童及低免疫力人群摄入较多恩诺沙星不合格的产品，可引起轻度胃肠道不适、头痛、头晕等症状，并产生耐药性。</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lang w:val="en-US" w:eastAsia="zh-CN"/>
        </w:rPr>
        <w:t>(八)</w:t>
      </w:r>
      <w:r>
        <w:rPr>
          <w:rFonts w:ascii="楷体_GB2312" w:hAnsi="宋体" w:eastAsia="楷体_GB2312" w:cs="宋体"/>
          <w:b/>
          <w:kern w:val="0"/>
          <w:sz w:val="32"/>
          <w:szCs w:val="32"/>
        </w:rPr>
        <w:t>呋喃唑酮代谢物</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宋体" w:eastAsia="仿宋_GB2312" w:cs="宋体"/>
          <w:kern w:val="0"/>
          <w:sz w:val="32"/>
          <w:szCs w:val="32"/>
        </w:rPr>
      </w:pPr>
      <w:r>
        <w:rPr>
          <w:rFonts w:ascii="仿宋_GB2312" w:hAnsi="宋体" w:eastAsia="仿宋_GB2312" w:cs="宋体"/>
          <w:kern w:val="0"/>
          <w:sz w:val="32"/>
          <w:szCs w:val="32"/>
        </w:rPr>
        <w:t>呋喃唑酮是属于硝基呋喃类广谱抗生素，广泛应用于畜禽及水产养殖业。硝基呋喃类原型药在生物体内代谢迅速，和蛋白质结合而相当稳定，故常利用对其代谢物的检测来反应硝基呋喃类药物的残留状况。</w:t>
      </w:r>
      <w:r>
        <w:rPr>
          <w:rFonts w:hint="eastAsia" w:ascii="仿宋_GB2312" w:hAnsi="仿宋" w:eastAsia="仿宋_GB2312"/>
          <w:sz w:val="32"/>
          <w:szCs w:val="32"/>
        </w:rPr>
        <w:t>《食品动物中禁止使用的药品及其他化合物清单》（农业农村部公告第250号）中规定，呋喃唑酮为禁止使用的药物，在动物性食品中不得检出。</w:t>
      </w:r>
      <w:r>
        <w:rPr>
          <w:rFonts w:ascii="仿宋_GB2312" w:hAnsi="宋体" w:eastAsia="仿宋_GB2312" w:cs="宋体"/>
          <w:kern w:val="0"/>
          <w:sz w:val="32"/>
          <w:szCs w:val="32"/>
        </w:rPr>
        <w:t>硝基呋喃类药物及其代谢物可能会引起溶血性贫血、多发性神经炎、眼部损害和急性肝坏死等病症，对人类健康造成危害。</w:t>
      </w:r>
    </w:p>
    <w:p>
      <w:pPr>
        <w:pStyle w:val="2"/>
        <w:keepNext w:val="0"/>
        <w:keepLines w:val="0"/>
        <w:pageBreakBefore w:val="0"/>
        <w:kinsoku/>
        <w:wordWrap/>
        <w:overflowPunct/>
        <w:topLinePunct w:val="0"/>
        <w:autoSpaceDE/>
        <w:autoSpaceDN/>
        <w:bidi w:val="0"/>
        <w:adjustRightInd/>
        <w:snapToGrid/>
        <w:spacing w:after="0" w:line="560" w:lineRule="exact"/>
        <w:ind w:left="0" w:leftChars="0" w:firstLine="642" w:firstLineChars="200"/>
        <w:textAlignment w:val="auto"/>
        <w:rPr>
          <w:rFonts w:hint="eastAsia" w:ascii="楷体_GB2312" w:hAnsi="楷体" w:eastAsia="楷体_GB2312" w:cs="仿宋_GB2312"/>
          <w:b/>
          <w:sz w:val="32"/>
          <w:szCs w:val="32"/>
          <w:lang w:val="zh-CN" w:eastAsia="zh-CN"/>
        </w:rPr>
      </w:pPr>
      <w:r>
        <w:rPr>
          <w:rFonts w:hint="eastAsia" w:ascii="楷体_GB2312" w:hAnsi="楷体" w:eastAsia="楷体_GB2312" w:cs="仿宋_GB2312"/>
          <w:b/>
          <w:sz w:val="32"/>
          <w:szCs w:val="32"/>
          <w:lang w:val="zh-CN" w:eastAsia="zh-CN"/>
        </w:rPr>
        <w:t>（九）水分</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宋体" w:eastAsia="仿宋_GB2312" w:cs="宋体"/>
          <w:kern w:val="0"/>
          <w:sz w:val="32"/>
          <w:szCs w:val="32"/>
          <w:lang w:val="zh-CN"/>
        </w:rPr>
      </w:pPr>
      <w:r>
        <w:rPr>
          <w:rFonts w:hint="eastAsia" w:ascii="仿宋_GB2312" w:hAnsi="宋体" w:eastAsia="仿宋_GB2312" w:cs="宋体"/>
          <w:kern w:val="0"/>
          <w:sz w:val="32"/>
          <w:szCs w:val="32"/>
        </w:rPr>
        <w:t>水分属于理化指标，是食品的一个内在质量因素，各类食品的产品标准常对水分含量有明确的限值要求，水分高低反映产品的含水量。合理的水分控制，可避免产品的功效成分或营养物质分解、酶解变质、霉变等，有助于保持产品质量稳定。《食品安全国家标准 食用菌及其制品》（GB 7096-2014）中规定，香菇</w:t>
      </w:r>
      <w:r>
        <w:rPr>
          <w:rFonts w:hint="eastAsia" w:ascii="仿宋_GB2312" w:hAnsi="仿宋" w:eastAsia="仿宋_GB2312"/>
          <w:sz w:val="32"/>
          <w:szCs w:val="32"/>
        </w:rPr>
        <w:t>干制品、银耳干制品以外的其他食用菌干制品</w:t>
      </w:r>
      <w:r>
        <w:rPr>
          <w:rFonts w:hint="eastAsia" w:ascii="仿宋_GB2312" w:hAnsi="宋体" w:eastAsia="仿宋_GB2312" w:cs="宋体"/>
          <w:kern w:val="0"/>
          <w:sz w:val="32"/>
          <w:szCs w:val="32"/>
        </w:rPr>
        <w:t>水分应</w:t>
      </w:r>
      <w:r>
        <w:rPr>
          <w:rFonts w:hint="eastAsia" w:ascii="仿宋_GB2312" w:hAnsi="仿宋" w:eastAsia="仿宋_GB2312"/>
          <w:sz w:val="32"/>
          <w:szCs w:val="32"/>
        </w:rPr>
        <w:t>≤12g/100g</w:t>
      </w:r>
      <w:r>
        <w:rPr>
          <w:rFonts w:hint="eastAsia" w:ascii="仿宋_GB2312" w:hAnsi="仿宋"/>
          <w:sz w:val="32"/>
          <w:szCs w:val="32"/>
          <w:lang w:val="en-US" w:eastAsia="zh-CN"/>
        </w:rPr>
        <w:t>;</w:t>
      </w:r>
      <w:r>
        <w:rPr>
          <w:rFonts w:hint="eastAsia" w:ascii="仿宋_GB2312" w:hAnsi="宋体" w:eastAsia="仿宋_GB2312" w:cs="宋体"/>
          <w:kern w:val="0"/>
          <w:sz w:val="32"/>
          <w:szCs w:val="32"/>
        </w:rPr>
        <w:t>香菇</w:t>
      </w:r>
      <w:r>
        <w:rPr>
          <w:rFonts w:hint="eastAsia" w:ascii="仿宋_GB2312" w:hAnsi="仿宋" w:eastAsia="仿宋_GB2312"/>
          <w:sz w:val="32"/>
          <w:szCs w:val="32"/>
        </w:rPr>
        <w:t>干制品</w:t>
      </w:r>
      <w:r>
        <w:rPr>
          <w:rFonts w:hint="eastAsia" w:ascii="仿宋_GB2312" w:hAnsi="宋体" w:eastAsia="仿宋_GB2312" w:cs="宋体"/>
          <w:kern w:val="0"/>
          <w:sz w:val="32"/>
          <w:szCs w:val="32"/>
        </w:rPr>
        <w:t>水分应</w:t>
      </w:r>
      <w:r>
        <w:rPr>
          <w:rFonts w:hint="eastAsia" w:ascii="仿宋_GB2312" w:hAnsi="仿宋" w:eastAsia="仿宋_GB2312"/>
          <w:sz w:val="32"/>
          <w:szCs w:val="32"/>
        </w:rPr>
        <w:t>≤1</w:t>
      </w:r>
      <w:r>
        <w:rPr>
          <w:rFonts w:hint="eastAsia" w:ascii="仿宋_GB2312" w:hAnsi="仿宋"/>
          <w:sz w:val="32"/>
          <w:szCs w:val="32"/>
          <w:lang w:val="en-US" w:eastAsia="zh-CN"/>
        </w:rPr>
        <w:t>3</w:t>
      </w:r>
      <w:r>
        <w:rPr>
          <w:rFonts w:hint="eastAsia" w:ascii="仿宋_GB2312" w:hAnsi="仿宋" w:eastAsia="仿宋_GB2312"/>
          <w:sz w:val="32"/>
          <w:szCs w:val="32"/>
        </w:rPr>
        <w:t>g/100g。</w:t>
      </w:r>
      <w:r>
        <w:rPr>
          <w:rFonts w:hint="eastAsia" w:ascii="仿宋_GB2312" w:hAnsi="宋体" w:eastAsia="仿宋_GB2312" w:cs="宋体"/>
          <w:kern w:val="0"/>
          <w:sz w:val="32"/>
          <w:szCs w:val="32"/>
        </w:rPr>
        <w:t>食品的水分不合格对人体健康没有重大影响，但是，水分超标会缩短产品的保质期限，使产品易发生霉变，可能引起产品质量的下降。</w:t>
      </w:r>
    </w:p>
    <w:p>
      <w:pPr>
        <w:keepNext w:val="0"/>
        <w:keepLines w:val="0"/>
        <w:pageBreakBefore w:val="0"/>
        <w:kinsoku/>
        <w:wordWrap/>
        <w:overflowPunct/>
        <w:topLinePunct w:val="0"/>
        <w:autoSpaceDE/>
        <w:autoSpaceDN/>
        <w:bidi w:val="0"/>
        <w:adjustRightInd/>
        <w:snapToGrid/>
        <w:spacing w:line="560" w:lineRule="exact"/>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rPr>
        <w:t>（十）甜蜜素</w:t>
      </w:r>
    </w:p>
    <w:p>
      <w:pPr>
        <w:pStyle w:val="17"/>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仿宋" w:eastAsia="仿宋_GB2312"/>
          <w:sz w:val="32"/>
          <w:szCs w:val="32"/>
        </w:rPr>
      </w:pPr>
      <w:r>
        <w:rPr>
          <w:rFonts w:hint="eastAsia" w:ascii="仿宋_GB2312" w:hAnsi="仿宋" w:eastAsia="仿宋_GB2312"/>
          <w:sz w:val="32"/>
          <w:szCs w:val="32"/>
        </w:rPr>
        <w:t>甜蜜素化学名称为环己基</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"http://baike.sogou.com/lemma/ShowInnerLink.htm?lemmaId=5618812" </w:instrText>
      </w:r>
      <w:r>
        <w:rPr>
          <w:rFonts w:hint="eastAsia" w:ascii="仿宋_GB2312" w:eastAsia="仿宋_GB2312"/>
          <w:sz w:val="32"/>
          <w:szCs w:val="32"/>
        </w:rPr>
        <w:fldChar w:fldCharType="separate"/>
      </w:r>
      <w:r>
        <w:rPr>
          <w:rFonts w:hint="eastAsia" w:ascii="仿宋_GB2312" w:hAnsi="仿宋" w:eastAsia="仿宋_GB2312"/>
          <w:sz w:val="32"/>
          <w:szCs w:val="32"/>
        </w:rPr>
        <w:t>氨基磺酸</w:t>
      </w:r>
      <w:r>
        <w:rPr>
          <w:rFonts w:hint="eastAsia" w:ascii="仿宋_GB2312" w:hAnsi="仿宋" w:eastAsia="仿宋_GB2312"/>
          <w:sz w:val="32"/>
          <w:szCs w:val="32"/>
        </w:rPr>
        <w:fldChar w:fldCharType="end"/>
      </w:r>
      <w:r>
        <w:rPr>
          <w:rFonts w:hint="eastAsia" w:ascii="仿宋_GB2312" w:hAnsi="仿宋" w:eastAsia="仿宋_GB2312"/>
          <w:sz w:val="32"/>
          <w:szCs w:val="32"/>
        </w:rPr>
        <w:t>钠，是一种常用</w:t>
      </w:r>
      <w:r>
        <w:fldChar w:fldCharType="begin"/>
      </w:r>
      <w:r>
        <w:instrText xml:space="preserve"> HYPERLINK "http://baike.sogou.com/lemma/ShowInnerLink.htm?lemmaId=130009" </w:instrText>
      </w:r>
      <w:r>
        <w:fldChar w:fldCharType="separate"/>
      </w:r>
      <w:r>
        <w:rPr>
          <w:rFonts w:hint="eastAsia" w:ascii="仿宋_GB2312" w:hAnsi="仿宋" w:eastAsia="仿宋_GB2312"/>
          <w:sz w:val="32"/>
          <w:szCs w:val="32"/>
        </w:rPr>
        <w:t>甜味剂</w:t>
      </w:r>
      <w:r>
        <w:rPr>
          <w:rFonts w:hint="eastAsia" w:ascii="仿宋_GB2312" w:hAnsi="仿宋" w:eastAsia="仿宋_GB2312"/>
          <w:sz w:val="32"/>
          <w:szCs w:val="32"/>
        </w:rPr>
        <w:fldChar w:fldCharType="end"/>
      </w:r>
      <w:r>
        <w:rPr>
          <w:rFonts w:hint="eastAsia" w:ascii="仿宋_GB2312" w:hAnsi="仿宋" w:eastAsia="仿宋_GB2312"/>
          <w:sz w:val="32"/>
          <w:szCs w:val="32"/>
        </w:rPr>
        <w:t>，其甜度是蔗糖的30～40倍，作为非营养型</w:t>
      </w:r>
      <w:r>
        <w:fldChar w:fldCharType="begin"/>
      </w:r>
      <w:r>
        <w:instrText xml:space="preserve"> HYPERLINK "http://baike.sogou.com/lemma/ShowInnerLink.htm?lemmaId=130009&amp;ss_c=ssc.citiao.link" </w:instrText>
      </w:r>
      <w:r>
        <w:fldChar w:fldCharType="separate"/>
      </w:r>
      <w:r>
        <w:rPr>
          <w:rFonts w:hint="eastAsia" w:ascii="仿宋_GB2312" w:hAnsi="仿宋" w:eastAsia="仿宋_GB2312"/>
          <w:sz w:val="32"/>
          <w:szCs w:val="32"/>
        </w:rPr>
        <w:t>甜味剂</w:t>
      </w:r>
      <w:r>
        <w:rPr>
          <w:rFonts w:hint="eastAsia" w:ascii="仿宋_GB2312" w:hAnsi="仿宋" w:eastAsia="仿宋_GB2312"/>
          <w:sz w:val="32"/>
          <w:szCs w:val="32"/>
        </w:rPr>
        <w:fldChar w:fldCharType="end"/>
      </w:r>
      <w:r>
        <w:rPr>
          <w:rFonts w:hint="eastAsia" w:ascii="仿宋_GB2312" w:hAnsi="仿宋" w:eastAsia="仿宋_GB2312"/>
          <w:sz w:val="32"/>
          <w:szCs w:val="32"/>
        </w:rPr>
        <w:t>。《食品安全国家标准 食品添加剂使用标准》（GB 2760-2014）中规定，腌渍的蔬菜中甜蜜素(以环己基氨基磺酸计）应≤1.0g/kg。长期食用甜蜜素不合格的食品，可能会对代谢排毒能力较弱人群的健康产生一定的影响。</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ascii="楷体_GB2312" w:hAnsi="楷体" w:eastAsia="楷体_GB2312" w:cs="楷体"/>
          <w:b/>
          <w:bCs/>
          <w:sz w:val="32"/>
          <w:szCs w:val="32"/>
          <w:shd w:val="clear" w:color="auto" w:fill="FFFFFF"/>
        </w:rPr>
      </w:pPr>
      <w:r>
        <w:rPr>
          <w:rFonts w:hint="eastAsia" w:ascii="楷体_GB2312" w:hAnsi="楷体" w:eastAsia="楷体_GB2312" w:cs="Arial"/>
          <w:b/>
          <w:sz w:val="32"/>
          <w:szCs w:val="32"/>
          <w:shd w:val="clear" w:color="auto" w:fill="FFFFFF"/>
        </w:rPr>
        <w:t>（十</w:t>
      </w:r>
      <w:r>
        <w:rPr>
          <w:rFonts w:hint="eastAsia" w:ascii="楷体_GB2312" w:hAnsi="楷体" w:eastAsia="楷体_GB2312" w:cs="Arial"/>
          <w:b/>
          <w:sz w:val="32"/>
          <w:szCs w:val="32"/>
          <w:shd w:val="clear" w:color="auto" w:fill="FFFFFF"/>
          <w:lang w:eastAsia="zh-CN"/>
        </w:rPr>
        <w:t>一</w:t>
      </w:r>
      <w:r>
        <w:rPr>
          <w:rFonts w:hint="eastAsia" w:ascii="楷体_GB2312" w:hAnsi="楷体" w:eastAsia="楷体_GB2312" w:cs="Arial"/>
          <w:b/>
          <w:sz w:val="32"/>
          <w:szCs w:val="32"/>
          <w:shd w:val="clear" w:color="auto" w:fill="FFFFFF"/>
        </w:rPr>
        <w:t>）氧氟沙星</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 w:eastAsia="仿宋_GB2312"/>
          <w:sz w:val="32"/>
          <w:szCs w:val="32"/>
        </w:rPr>
      </w:pPr>
      <w:r>
        <w:rPr>
          <w:rFonts w:hint="eastAsia" w:ascii="仿宋_GB2312" w:hAnsi="仿宋" w:eastAsia="仿宋_GB2312"/>
          <w:sz w:val="32"/>
          <w:szCs w:val="32"/>
        </w:rPr>
        <w:t>氧氟沙星属于氟喹诺酮类药物，因抗菌谱广、抗菌活性强等曾被广泛用于畜禽细菌性疾病的治疗和预防。《发布在食品动物中停止使用洛美沙星、培氟沙星、氧氟沙星、诺氟沙星4种兽药的决定》（农业部公告第2292号）中规定，自2016年12月31日起，停止经营、使用用于食品动物的包括氧氟沙星在内的4种原料药的各种盐、酯及其各种制剂。氧氟沙星残留在人体中蓄积，可能引起人体耐药性，长期摄入氧氟沙星超标的动物性食品，可引起轻度胃肠道刺激或不适以及头痛、头晕、睡眠不良等症状，大剂量还可能引起肝损害。</w:t>
      </w:r>
    </w:p>
    <w:p>
      <w:pPr>
        <w:spacing w:line="560" w:lineRule="exact"/>
        <w:ind w:firstLine="642" w:firstLineChars="200"/>
        <w:rPr>
          <w:rFonts w:hint="eastAsia" w:ascii="楷体_GB2312" w:hAnsi="楷体" w:eastAsia="楷体_GB2312" w:cs="仿宋_GB2312"/>
          <w:b/>
          <w:sz w:val="32"/>
          <w:szCs w:val="32"/>
        </w:rPr>
      </w:pPr>
      <w:r>
        <w:rPr>
          <w:rFonts w:hint="eastAsia" w:ascii="楷体_GB2312" w:hAnsi="楷体" w:eastAsia="楷体_GB2312" w:cs="仿宋_GB2312"/>
          <w:b/>
          <w:sz w:val="32"/>
          <w:szCs w:val="32"/>
          <w:lang w:eastAsia="zh-CN"/>
        </w:rPr>
        <w:t>（十二）</w:t>
      </w:r>
      <w:r>
        <w:rPr>
          <w:rFonts w:hint="eastAsia" w:ascii="楷体_GB2312" w:hAnsi="楷体" w:eastAsia="楷体_GB2312" w:cs="仿宋_GB2312"/>
          <w:b/>
          <w:sz w:val="32"/>
          <w:szCs w:val="32"/>
        </w:rPr>
        <w:t>霉菌和酵母</w:t>
      </w:r>
    </w:p>
    <w:p>
      <w:pPr>
        <w:spacing w:line="560" w:lineRule="exact"/>
        <w:ind w:firstLine="640" w:firstLineChars="200"/>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霉菌和酵母是真菌中的一大类，广泛分布于自然界并可作为食品中正常菌的一部分。霉菌和酵母也可作为评价食品卫生质量的“指标菌”。《食品安全国家标准 食用淀粉》（GB 31637-2016）中规定，淀粉的霉菌和酵母应≤10</w:t>
      </w:r>
      <w:r>
        <w:rPr>
          <w:rFonts w:hint="eastAsia" w:ascii="仿宋_GB2312" w:hAnsi="仿宋" w:eastAsia="仿宋_GB2312" w:cs="Times New Roman"/>
          <w:kern w:val="2"/>
          <w:sz w:val="32"/>
          <w:szCs w:val="32"/>
          <w:vertAlign w:val="superscript"/>
          <w:lang w:val="en-US" w:eastAsia="zh-CN" w:bidi="ar-SA"/>
        </w:rPr>
        <w:t>3</w:t>
      </w:r>
      <w:r>
        <w:rPr>
          <w:rFonts w:hint="eastAsia" w:ascii="仿宋_GB2312" w:hAnsi="仿宋" w:eastAsia="仿宋_GB2312" w:cs="Times New Roman"/>
          <w:kern w:val="2"/>
          <w:sz w:val="32"/>
          <w:szCs w:val="32"/>
          <w:lang w:val="en-US" w:eastAsia="zh-CN" w:bidi="ar-SA"/>
        </w:rPr>
        <w:t>CFU/g。在某些情况下，霉菌和酵母可使食品发生难闻的异味，使食品表面失去色、香、味,从而造成食品腐败变质，并产生真菌毒素危害人类健康。</w:t>
      </w:r>
    </w:p>
    <w:p>
      <w:pPr>
        <w:spacing w:line="560" w:lineRule="exact"/>
        <w:ind w:firstLine="642" w:firstLineChars="200"/>
        <w:rPr>
          <w:rFonts w:ascii="楷体_GB2312" w:hAnsi="仿宋" w:eastAsia="楷体_GB2312" w:cs="宋体"/>
          <w:color w:val="000000"/>
          <w:kern w:val="0"/>
          <w:sz w:val="32"/>
          <w:szCs w:val="32"/>
        </w:rPr>
      </w:pPr>
      <w:r>
        <w:rPr>
          <w:rFonts w:hint="eastAsia" w:ascii="楷体_GB2312" w:hAnsi="楷体" w:eastAsia="楷体_GB2312" w:cs="仿宋_GB2312"/>
          <w:b/>
          <w:sz w:val="32"/>
          <w:szCs w:val="32"/>
        </w:rPr>
        <w:t>（</w:t>
      </w:r>
      <w:r>
        <w:rPr>
          <w:rFonts w:hint="eastAsia" w:ascii="楷体_GB2312" w:hAnsi="楷体" w:eastAsia="楷体_GB2312" w:cs="仿宋_GB2312"/>
          <w:b/>
          <w:sz w:val="32"/>
          <w:szCs w:val="32"/>
          <w:lang w:eastAsia="zh-CN"/>
        </w:rPr>
        <w:t>十三</w:t>
      </w:r>
      <w:r>
        <w:rPr>
          <w:rFonts w:hint="eastAsia" w:ascii="楷体_GB2312" w:hAnsi="楷体" w:eastAsia="楷体_GB2312" w:cs="仿宋_GB2312"/>
          <w:b/>
          <w:sz w:val="32"/>
          <w:szCs w:val="32"/>
        </w:rPr>
        <w:t>）克百威</w:t>
      </w:r>
    </w:p>
    <w:p>
      <w:pPr>
        <w:pStyle w:val="17"/>
        <w:ind w:firstLine="640"/>
        <w:rPr>
          <w:rFonts w:hint="eastAsia" w:ascii="仿宋_GB2312" w:hAnsi="仿宋" w:eastAsia="仿宋_GB2312"/>
          <w:sz w:val="32"/>
          <w:szCs w:val="32"/>
        </w:rPr>
      </w:pPr>
      <w:r>
        <w:rPr>
          <w:rFonts w:hint="eastAsia" w:ascii="仿宋_GB2312" w:hAnsi="仿宋" w:eastAsia="仿宋_GB2312"/>
          <w:sz w:val="32"/>
          <w:szCs w:val="32"/>
        </w:rPr>
        <w:t>克百威是一种具有内吸、触杀和胃毒作用的氨基甲酸酯类杀虫剂。《食品安全国家标准 食品中农药最大残留限量》（GB 2763-2019）中规定，</w:t>
      </w:r>
      <w:r>
        <w:rPr>
          <w:rFonts w:hint="eastAsia" w:ascii="仿宋_GB2312" w:hAnsi="仿宋"/>
          <w:sz w:val="32"/>
          <w:szCs w:val="32"/>
          <w:lang w:eastAsia="zh-CN"/>
        </w:rPr>
        <w:t>豆类蔬菜</w:t>
      </w:r>
      <w:r>
        <w:rPr>
          <w:rFonts w:hint="eastAsia" w:ascii="仿宋_GB2312" w:hAnsi="仿宋" w:eastAsia="仿宋_GB2312"/>
          <w:sz w:val="32"/>
          <w:szCs w:val="32"/>
        </w:rPr>
        <w:t>中克百威（克百威和3-羟基克百威之和，以克百威计）应≤0.02 mg/kg。克百威对鱼类、鸟类及野生动物有害。对在施药区觅食的鸟类可能致命，这种误食致死的鸟尸可能还会对其他鹰类及肉食鸟类造成危险，并且该农药不易降解，容易造成环境污染。</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仿宋_GB2312"/>
          <w:color w:val="000000"/>
          <w:sz w:val="32"/>
          <w:szCs w:val="32"/>
        </w:rPr>
      </w:pPr>
      <w:r>
        <w:rPr>
          <w:rFonts w:hint="eastAsia" w:ascii="黑体" w:hAnsi="黑体" w:eastAsia="黑体" w:cs="仿宋_GB2312"/>
          <w:color w:val="000000"/>
          <w:sz w:val="32"/>
          <w:szCs w:val="32"/>
        </w:rPr>
        <w:t>二、建议</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706" w:firstLineChars="220"/>
        <w:textAlignment w:val="auto"/>
        <w:rPr>
          <w:rFonts w:ascii="楷体_GB2312" w:hAnsi="楷体" w:eastAsia="楷体_GB2312"/>
          <w:b/>
          <w:sz w:val="32"/>
          <w:szCs w:val="32"/>
        </w:rPr>
      </w:pPr>
      <w:r>
        <w:rPr>
          <w:rFonts w:hint="eastAsia" w:ascii="楷体_GB2312" w:hAnsi="楷体" w:eastAsia="楷体_GB2312"/>
          <w:b/>
          <w:sz w:val="32"/>
          <w:szCs w:val="32"/>
        </w:rPr>
        <w:t>（一）加强原辅料的把控</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食品原料的质量与卫生是食品质量安全的前提。食品生产经营单位应加强对所使用的原材料的质量管理，建立进货查验、索证索票和进货台账制度，查验供货者的许可证和包含必要检验项目的食品合格证明文件，不得采购腐败变质、发霉、质量不新鲜的食品原料，确保各种原辅料的质量符合标准的有关规定和要求。</w:t>
      </w:r>
    </w:p>
    <w:p>
      <w:pPr>
        <w:keepNext w:val="0"/>
        <w:keepLines w:val="0"/>
        <w:pageBreakBefore w:val="0"/>
        <w:kinsoku/>
        <w:wordWrap/>
        <w:overflowPunct/>
        <w:topLinePunct w:val="0"/>
        <w:autoSpaceDE/>
        <w:autoSpaceDN/>
        <w:bidi w:val="0"/>
        <w:adjustRightInd/>
        <w:snapToGrid/>
        <w:spacing w:line="560" w:lineRule="exact"/>
        <w:ind w:firstLine="643"/>
        <w:textAlignment w:val="auto"/>
        <w:rPr>
          <w:rFonts w:ascii="楷体_GB2312" w:eastAsia="楷体_GB2312"/>
          <w:bCs/>
          <w:color w:val="auto"/>
          <w:highlight w:val="none"/>
        </w:rPr>
      </w:pPr>
      <w:r>
        <w:rPr>
          <w:rFonts w:hint="eastAsia" w:ascii="楷体_GB2312" w:hAnsi="楷体" w:eastAsia="楷体_GB2312"/>
          <w:b/>
          <w:color w:val="auto"/>
          <w:szCs w:val="32"/>
          <w:highlight w:val="none"/>
        </w:rPr>
        <w:t>（二）规范药物使用</w:t>
      </w:r>
    </w:p>
    <w:p>
      <w:pPr>
        <w:keepNext w:val="0"/>
        <w:keepLines w:val="0"/>
        <w:pageBreakBefore w:val="0"/>
        <w:kinsoku/>
        <w:wordWrap/>
        <w:overflowPunct/>
        <w:topLinePunct w:val="0"/>
        <w:autoSpaceDE/>
        <w:autoSpaceDN/>
        <w:bidi w:val="0"/>
        <w:adjustRightInd/>
        <w:snapToGrid/>
        <w:spacing w:line="560" w:lineRule="exact"/>
        <w:textAlignment w:val="auto"/>
        <w:rPr>
          <w:rFonts w:ascii="仿宋_GB2312" w:hAnsi="仿宋"/>
          <w:color w:val="auto"/>
          <w:szCs w:val="32"/>
          <w:highlight w:val="none"/>
        </w:rPr>
      </w:pPr>
      <w:r>
        <w:rPr>
          <w:rFonts w:hint="eastAsia" w:ascii="仿宋_GB2312" w:hAnsi="仿宋"/>
          <w:color w:val="auto"/>
          <w:szCs w:val="32"/>
          <w:highlight w:val="none"/>
        </w:rPr>
        <w:t>针对</w:t>
      </w:r>
      <w:r>
        <w:rPr>
          <w:rFonts w:hint="default" w:ascii="仿宋_GB2312" w:hAnsi="仿宋"/>
          <w:color w:val="auto"/>
          <w:szCs w:val="32"/>
          <w:highlight w:val="none"/>
          <w:lang w:val="en"/>
        </w:rPr>
        <w:t>种植养殖</w:t>
      </w:r>
      <w:r>
        <w:rPr>
          <w:rFonts w:hint="eastAsia" w:ascii="仿宋_GB2312" w:hAnsi="仿宋"/>
          <w:color w:val="auto"/>
          <w:szCs w:val="32"/>
          <w:highlight w:val="none"/>
        </w:rPr>
        <w:t>环节，</w:t>
      </w:r>
      <w:r>
        <w:rPr>
          <w:rFonts w:hint="default" w:ascii="仿宋_GB2312" w:hAnsi="仿宋"/>
          <w:color w:val="auto"/>
          <w:szCs w:val="32"/>
          <w:highlight w:val="none"/>
          <w:lang w:val="en"/>
        </w:rPr>
        <w:t>种植养殖</w:t>
      </w:r>
      <w:r>
        <w:rPr>
          <w:rFonts w:hint="eastAsia" w:ascii="仿宋_GB2312" w:hAnsi="仿宋"/>
          <w:color w:val="auto"/>
          <w:szCs w:val="32"/>
          <w:highlight w:val="none"/>
        </w:rPr>
        <w:t>户应严格按照药物说明书进行规范用药。加大对生产经营人员专业知识的培训，对</w:t>
      </w:r>
      <w:r>
        <w:rPr>
          <w:rFonts w:hint="default" w:ascii="仿宋_GB2312" w:hAnsi="仿宋"/>
          <w:color w:val="auto"/>
          <w:szCs w:val="32"/>
          <w:highlight w:val="none"/>
          <w:lang w:val="en"/>
        </w:rPr>
        <w:t>种植养殖</w:t>
      </w:r>
      <w:r>
        <w:rPr>
          <w:rFonts w:hint="eastAsia" w:ascii="仿宋_GB2312" w:hAnsi="仿宋"/>
          <w:color w:val="auto"/>
          <w:szCs w:val="32"/>
          <w:highlight w:val="none"/>
        </w:rPr>
        <w:t>基地、农户进行药物使用知识的培训力度，加强</w:t>
      </w:r>
      <w:r>
        <w:rPr>
          <w:rFonts w:hint="default" w:ascii="仿宋_GB2312" w:hAnsi="仿宋"/>
          <w:color w:val="auto"/>
          <w:szCs w:val="32"/>
          <w:highlight w:val="none"/>
          <w:lang w:val="en"/>
        </w:rPr>
        <w:t>种植养殖</w:t>
      </w:r>
      <w:r>
        <w:rPr>
          <w:rFonts w:hint="eastAsia" w:ascii="仿宋_GB2312" w:hAnsi="仿宋"/>
          <w:color w:val="auto"/>
          <w:szCs w:val="32"/>
          <w:highlight w:val="none"/>
        </w:rPr>
        <w:t>户对不同季节、不同农作物使用农药和畜禽使用兽药情况的了解。同时，建议有关部门加大对深圳各场所农产品的抽检力度，对发现的违法用药行为进行严厉处罚，并进一步加强对非食用物质的监管，加大针对性抽检的力度</w:t>
      </w:r>
      <w:r>
        <w:rPr>
          <w:rFonts w:hint="eastAsia"/>
          <w:color w:val="auto"/>
          <w:highlight w:val="none"/>
        </w:rPr>
        <w:t>。</w:t>
      </w:r>
    </w:p>
    <w:p>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2" w:firstLineChars="200"/>
        <w:jc w:val="both"/>
        <w:textAlignment w:val="auto"/>
        <w:rPr>
          <w:rStyle w:val="11"/>
          <w:rFonts w:ascii="楷体_GB2312" w:hAnsi="楷体" w:eastAsia="楷体_GB2312"/>
          <w:color w:val="auto"/>
          <w:sz w:val="32"/>
          <w:szCs w:val="32"/>
          <w:highlight w:val="none"/>
        </w:rPr>
      </w:pPr>
      <w:r>
        <w:rPr>
          <w:rStyle w:val="11"/>
          <w:rFonts w:hint="eastAsia" w:ascii="楷体_GB2312" w:hAnsi="楷体" w:eastAsia="楷体_GB2312"/>
          <w:color w:val="auto"/>
          <w:sz w:val="32"/>
          <w:szCs w:val="32"/>
          <w:highlight w:val="none"/>
        </w:rPr>
        <w:t>（</w:t>
      </w:r>
      <w:r>
        <w:rPr>
          <w:rStyle w:val="11"/>
          <w:rFonts w:hint="eastAsia" w:ascii="楷体_GB2312" w:hAnsi="楷体" w:eastAsia="楷体_GB2312"/>
          <w:color w:val="auto"/>
          <w:sz w:val="32"/>
          <w:szCs w:val="32"/>
          <w:highlight w:val="none"/>
          <w:lang w:eastAsia="zh-CN"/>
        </w:rPr>
        <w:t>三</w:t>
      </w:r>
      <w:r>
        <w:rPr>
          <w:rStyle w:val="11"/>
          <w:rFonts w:hint="eastAsia" w:ascii="楷体_GB2312" w:hAnsi="楷体" w:eastAsia="楷体_GB2312"/>
          <w:color w:val="auto"/>
          <w:sz w:val="32"/>
          <w:szCs w:val="32"/>
          <w:highlight w:val="none"/>
        </w:rPr>
        <w:t>）提高食品添加剂安全使用意识</w:t>
      </w:r>
    </w:p>
    <w:p>
      <w:pPr>
        <w:pStyle w:val="8"/>
        <w:shd w:val="clear" w:color="auto" w:fill="FFFFFF"/>
        <w:spacing w:before="0" w:beforeAutospacing="0" w:after="0" w:afterAutospacing="0"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部分食品生产经营者为了追求经济效益，对食品添加剂过于依赖，但对食品添加剂使用要求却执行不到位。因此</w:t>
      </w:r>
      <w:r>
        <w:rPr>
          <w:rFonts w:hint="eastAsia" w:ascii="仿宋_GB2312" w:hAnsi="仿宋" w:eastAsia="仿宋_GB2312"/>
          <w:color w:val="auto"/>
          <w:sz w:val="32"/>
          <w:szCs w:val="32"/>
          <w:highlight w:val="none"/>
          <w:lang w:eastAsia="zh-CN"/>
        </w:rPr>
        <w:t>应</w:t>
      </w:r>
      <w:r>
        <w:rPr>
          <w:rFonts w:hint="eastAsia" w:ascii="仿宋_GB2312" w:hAnsi="仿宋" w:eastAsia="仿宋_GB2312"/>
          <w:color w:val="auto"/>
          <w:sz w:val="32"/>
          <w:szCs w:val="32"/>
          <w:highlight w:val="none"/>
        </w:rPr>
        <w:t>落实企业主体，加大对食品生产企业关于食品添加剂的相关法律法规和国家标准知识的宣传力度，进一步宣贯违法添加和滥用食品添加剂行为的危害性以及通过加大惩处等措施来提高食品生产企业食品添加剂安全使用意识。</w:t>
      </w:r>
    </w:p>
    <w:p>
      <w:pPr>
        <w:pStyle w:val="8"/>
        <w:shd w:val="clear" w:color="auto" w:fill="FFFFFF"/>
        <w:spacing w:before="0" w:beforeAutospacing="0" w:after="0" w:afterAutospacing="0" w:line="560" w:lineRule="exact"/>
        <w:ind w:firstLine="642" w:firstLineChars="200"/>
        <w:rPr>
          <w:rFonts w:ascii="楷体_GB2312" w:hAnsi="楷体" w:eastAsia="楷体_GB2312"/>
          <w:b/>
          <w:color w:val="auto"/>
          <w:sz w:val="32"/>
          <w:szCs w:val="32"/>
        </w:rPr>
      </w:pPr>
      <w:r>
        <w:rPr>
          <w:rFonts w:hint="eastAsia" w:ascii="楷体_GB2312" w:hAnsi="楷体" w:eastAsia="楷体_GB2312"/>
          <w:b/>
          <w:color w:val="auto"/>
          <w:sz w:val="32"/>
          <w:szCs w:val="32"/>
        </w:rPr>
        <w:t>（</w:t>
      </w:r>
      <w:r>
        <w:rPr>
          <w:rFonts w:hint="eastAsia" w:ascii="楷体_GB2312" w:hAnsi="楷体" w:eastAsia="楷体_GB2312"/>
          <w:b/>
          <w:color w:val="auto"/>
          <w:sz w:val="32"/>
          <w:szCs w:val="32"/>
          <w:lang w:eastAsia="zh-CN"/>
        </w:rPr>
        <w:t>四</w:t>
      </w:r>
      <w:r>
        <w:rPr>
          <w:rFonts w:hint="eastAsia" w:ascii="楷体_GB2312" w:hAnsi="楷体" w:eastAsia="楷体_GB2312"/>
          <w:b/>
          <w:color w:val="auto"/>
          <w:sz w:val="32"/>
          <w:szCs w:val="32"/>
        </w:rPr>
        <w:t>）加强食品出厂检验</w:t>
      </w:r>
    </w:p>
    <w:p>
      <w:pPr>
        <w:pStyle w:val="8"/>
        <w:shd w:val="clear" w:color="auto" w:fill="FFFFFF"/>
        <w:spacing w:before="0" w:beforeAutospacing="0" w:after="0" w:afterAutospacing="0" w:line="560" w:lineRule="exact"/>
        <w:ind w:firstLine="640" w:firstLineChars="200"/>
        <w:jc w:val="both"/>
        <w:rPr>
          <w:rFonts w:ascii="黑体" w:hAnsi="黑体" w:eastAsia="黑体" w:cs="仿宋_GB2312"/>
          <w:color w:val="auto"/>
          <w:sz w:val="32"/>
          <w:szCs w:val="32"/>
        </w:rPr>
      </w:pPr>
      <w:r>
        <w:rPr>
          <w:rFonts w:hint="eastAsia" w:eastAsia="仿宋_GB2312"/>
          <w:color w:val="auto"/>
          <w:sz w:val="32"/>
          <w:szCs w:val="32"/>
        </w:rPr>
        <w:t>食品生产企业要强化重视出厂检验的意识，制定切合自身且不断完善的出厂检验制度；建立完善的检测条件针对自身产品进行日常监管，制定出厂检验计划并严格执行，确保生产合格的产品；加强对生产的成品的检测频率，进行自检或送往具有相关资质的检测机构进行检测；建立健全产品召回机制，应对突发产品质量问题。</w:t>
      </w:r>
    </w:p>
    <w:p>
      <w:pPr>
        <w:pStyle w:val="8"/>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hAnsi="仿宋_GB2312" w:cs="仿宋_GB2312"/>
          <w:sz w:val="3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0D4506"/>
    <w:rsid w:val="006B1DCC"/>
    <w:rsid w:val="00724BD2"/>
    <w:rsid w:val="008D6C99"/>
    <w:rsid w:val="00B977A2"/>
    <w:rsid w:val="010D4506"/>
    <w:rsid w:val="091C5D20"/>
    <w:rsid w:val="0CD4225F"/>
    <w:rsid w:val="0EA93008"/>
    <w:rsid w:val="1162065F"/>
    <w:rsid w:val="11B32DA0"/>
    <w:rsid w:val="16396F4B"/>
    <w:rsid w:val="176818BF"/>
    <w:rsid w:val="199008F8"/>
    <w:rsid w:val="1B042E72"/>
    <w:rsid w:val="1F456A61"/>
    <w:rsid w:val="231A399D"/>
    <w:rsid w:val="249A66FD"/>
    <w:rsid w:val="25D84592"/>
    <w:rsid w:val="274815F0"/>
    <w:rsid w:val="27D171E0"/>
    <w:rsid w:val="2DA27B95"/>
    <w:rsid w:val="2FFC71C6"/>
    <w:rsid w:val="323F00BC"/>
    <w:rsid w:val="324700B2"/>
    <w:rsid w:val="36A26439"/>
    <w:rsid w:val="387272BF"/>
    <w:rsid w:val="3E051E67"/>
    <w:rsid w:val="3E88008E"/>
    <w:rsid w:val="3EC80CDE"/>
    <w:rsid w:val="464A4562"/>
    <w:rsid w:val="4848609B"/>
    <w:rsid w:val="4B37566A"/>
    <w:rsid w:val="4FED4605"/>
    <w:rsid w:val="52FE47AC"/>
    <w:rsid w:val="533A17A5"/>
    <w:rsid w:val="59E33FF0"/>
    <w:rsid w:val="59EA54F5"/>
    <w:rsid w:val="5E214E94"/>
    <w:rsid w:val="5E7004E1"/>
    <w:rsid w:val="62547A4D"/>
    <w:rsid w:val="63E10B0C"/>
    <w:rsid w:val="6792245C"/>
    <w:rsid w:val="6801069F"/>
    <w:rsid w:val="69130912"/>
    <w:rsid w:val="69CB77D8"/>
    <w:rsid w:val="6A323B2C"/>
    <w:rsid w:val="6ECD36FF"/>
    <w:rsid w:val="72A04A1F"/>
    <w:rsid w:val="72F24D9D"/>
    <w:rsid w:val="738026E3"/>
    <w:rsid w:val="75CA36CA"/>
    <w:rsid w:val="763955BF"/>
    <w:rsid w:val="77FC16E5"/>
    <w:rsid w:val="78FE0A2F"/>
    <w:rsid w:val="7B5E04A9"/>
    <w:rsid w:val="7DEF5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楷体_GB2312"/>
      <w:b/>
      <w:kern w:val="44"/>
    </w:rPr>
  </w:style>
  <w:style w:type="paragraph" w:styleId="5">
    <w:name w:val="heading 2"/>
    <w:basedOn w:val="1"/>
    <w:next w:val="1"/>
    <w:link w:val="16"/>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paragraph" w:customStyle="1" w:styleId="13">
    <w:name w:val="本文正文"/>
    <w:basedOn w:val="1"/>
    <w:qFormat/>
    <w:uiPriority w:val="0"/>
    <w:pPr>
      <w:spacing w:line="360" w:lineRule="auto"/>
      <w:ind w:firstLine="803"/>
    </w:pPr>
    <w:rPr>
      <w:rFonts w:ascii="宋体" w:hAnsi="宋体"/>
      <w:sz w:val="24"/>
    </w:rPr>
  </w:style>
  <w:style w:type="character" w:customStyle="1" w:styleId="14">
    <w:name w:val="页眉 字符"/>
    <w:basedOn w:val="10"/>
    <w:link w:val="7"/>
    <w:qFormat/>
    <w:uiPriority w:val="0"/>
    <w:rPr>
      <w:rFonts w:ascii="Calibri" w:hAnsi="Calibri" w:eastAsia="仿宋_GB2312"/>
      <w:kern w:val="2"/>
      <w:sz w:val="18"/>
      <w:szCs w:val="18"/>
    </w:rPr>
  </w:style>
  <w:style w:type="character" w:customStyle="1" w:styleId="15">
    <w:name w:val="页脚 字符"/>
    <w:basedOn w:val="10"/>
    <w:link w:val="6"/>
    <w:qFormat/>
    <w:uiPriority w:val="0"/>
    <w:rPr>
      <w:rFonts w:ascii="Calibri" w:hAnsi="Calibri" w:eastAsia="仿宋_GB2312"/>
      <w:kern w:val="2"/>
      <w:sz w:val="18"/>
      <w:szCs w:val="18"/>
    </w:rPr>
  </w:style>
  <w:style w:type="character" w:customStyle="1" w:styleId="16">
    <w:name w:val="标题 2 字符"/>
    <w:basedOn w:val="10"/>
    <w:link w:val="5"/>
    <w:semiHidden/>
    <w:qFormat/>
    <w:uiPriority w:val="0"/>
    <w:rPr>
      <w:rFonts w:asciiTheme="majorHAnsi" w:hAnsiTheme="majorHAnsi" w:eastAsiaTheme="majorEastAsia" w:cstheme="majorBidi"/>
      <w:b/>
      <w:bCs/>
      <w:kern w:val="2"/>
      <w:sz w:val="32"/>
      <w:szCs w:val="32"/>
    </w:rPr>
  </w:style>
  <w:style w:type="paragraph" w:customStyle="1" w:styleId="17">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8</Pages>
  <Words>600</Words>
  <Characters>3426</Characters>
  <Lines>28</Lines>
  <Paragraphs>8</Paragraphs>
  <TotalTime>7</TotalTime>
  <ScaleCrop>false</ScaleCrop>
  <LinksUpToDate>false</LinksUpToDate>
  <CharactersWithSpaces>4018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2020-12-18T14:54:00Z</dcterms:created>
  <dc:creator>zhenyongwen</dc:creator>
  <cp:lastModifiedBy>chenkang1</cp:lastModifiedBy>
  <dcterms:modified xsi:type="dcterms:W3CDTF">2022-09-21T15:42:56Z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