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default"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eastAsia="zh-CN"/>
        </w:rPr>
        <w:t>龙华区义务教育阶段公办学校</w:t>
      </w:r>
      <w:r>
        <w:rPr>
          <w:rFonts w:hint="default" w:ascii="方正小标宋简体" w:hAnsi="方正小标宋简体" w:eastAsia="方正小标宋简体" w:cs="方正小标宋简体"/>
          <w:sz w:val="44"/>
          <w:szCs w:val="44"/>
          <w:lang w:val="en"/>
        </w:rPr>
        <w:t>电脑随机派位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招生录取实施</w:t>
      </w:r>
      <w:r>
        <w:rPr>
          <w:rFonts w:hint="eastAsia" w:ascii="方正小标宋简体" w:hAnsi="方正小标宋简体" w:eastAsia="方正小标宋简体" w:cs="方正小标宋简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为进一步贯彻落实《中共中央国务院关于深化教育教学改革全面提高义务教育质量的意见》《广东省教育厅关于进一步规范普通中小学招生入学工作的指导意见》等有关</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精神和工作要求，</w:t>
      </w:r>
      <w:r>
        <w:rPr>
          <w:rFonts w:hint="eastAsia" w:ascii="仿宋_GB2312" w:hAnsi="仿宋_GB2312" w:eastAsia="仿宋_GB2312" w:cs="仿宋_GB2312"/>
          <w:color w:val="auto"/>
          <w:sz w:val="32"/>
          <w:szCs w:val="32"/>
          <w:lang w:eastAsia="zh-CN"/>
        </w:rPr>
        <w:t>现结合</w:t>
      </w:r>
      <w:r>
        <w:rPr>
          <w:rFonts w:hint="eastAsia" w:ascii="仿宋_GB2312" w:hAnsi="仿宋_GB2312" w:eastAsia="仿宋_GB2312" w:cs="仿宋_GB2312"/>
          <w:color w:val="auto"/>
          <w:sz w:val="32"/>
          <w:szCs w:val="32"/>
          <w:lang w:val="en-US" w:eastAsia="zh-CN"/>
        </w:rPr>
        <w:t>我区实际情况，选取华东师范大学附属深圳龙华学校进行电脑随机派位试点，为</w:t>
      </w:r>
      <w:r>
        <w:rPr>
          <w:rFonts w:hint="eastAsia" w:ascii="仿宋_GB2312" w:hAnsi="仿宋_GB2312" w:eastAsia="仿宋_GB2312" w:cs="仿宋_GB2312"/>
          <w:color w:val="auto"/>
          <w:sz w:val="32"/>
          <w:szCs w:val="32"/>
        </w:rPr>
        <w:t>确保我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义务教育阶段</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学校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工作公平、公开、公正，</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、组织单位：</w:t>
      </w:r>
      <w:r>
        <w:rPr>
          <w:rFonts w:hint="eastAsia" w:ascii="仿宋_GB2312" w:hAnsi="仿宋_GB2312" w:eastAsia="仿宋_GB2312" w:cs="仿宋_GB2312"/>
          <w:color w:val="auto"/>
          <w:sz w:val="32"/>
          <w:szCs w:val="32"/>
          <w:lang w:val="en-US" w:eastAsia="zh-CN"/>
        </w:rPr>
        <w:t>龙华区教育局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二、派位学校：</w:t>
      </w:r>
      <w:r>
        <w:rPr>
          <w:rFonts w:hint="eastAsia" w:ascii="仿宋_GB2312" w:hAnsi="仿宋_GB2312" w:eastAsia="仿宋_GB2312" w:cs="仿宋_GB2312"/>
          <w:color w:val="auto"/>
          <w:sz w:val="32"/>
          <w:szCs w:val="32"/>
          <w:lang w:val="en-US" w:eastAsia="zh-CN"/>
        </w:rPr>
        <w:t>华东师范大学附属深圳龙华学校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、派位时间：</w:t>
      </w:r>
      <w:r>
        <w:rPr>
          <w:rFonts w:hint="eastAsia" w:ascii="仿宋_GB2312" w:hAnsi="仿宋_GB2312" w:eastAsia="仿宋_GB2312" w:cs="仿宋_GB2312"/>
          <w:color w:val="auto"/>
          <w:sz w:val="32"/>
          <w:szCs w:val="32"/>
          <w:lang w:val="en-US" w:eastAsia="zh-CN"/>
        </w:rPr>
        <w:t>七月上旬（具体时间</w:t>
      </w:r>
      <w:r>
        <w:rPr>
          <w:rFonts w:hint="default" w:ascii="仿宋_GB2312" w:hAnsi="仿宋_GB2312" w:eastAsia="仿宋_GB2312" w:cs="仿宋_GB2312"/>
          <w:color w:val="auto"/>
          <w:sz w:val="32"/>
          <w:szCs w:val="32"/>
          <w:lang w:val="en" w:eastAsia="zh-CN"/>
        </w:rPr>
        <w:t>关注官网通知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黑体" w:cs="仿宋_GB2312"/>
          <w:color w:val="auto"/>
          <w:sz w:val="32"/>
          <w:szCs w:val="32"/>
          <w:lang w:val="en-US"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、派位地点：</w:t>
      </w:r>
      <w:r>
        <w:rPr>
          <w:rFonts w:hint="eastAsia" w:ascii="仿宋_GB2312" w:hAnsi="仿宋_GB2312" w:eastAsia="仿宋_GB2312" w:cs="仿宋_GB2312"/>
          <w:color w:val="auto"/>
          <w:sz w:val="32"/>
          <w:szCs w:val="32"/>
          <w:lang w:val="en-US" w:eastAsia="zh-CN"/>
        </w:rPr>
        <w:t>具体地点</w:t>
      </w:r>
      <w:r>
        <w:rPr>
          <w:rFonts w:hint="default" w:ascii="仿宋_GB2312" w:hAnsi="仿宋_GB2312" w:eastAsia="仿宋_GB2312" w:cs="仿宋_GB2312"/>
          <w:color w:val="auto"/>
          <w:sz w:val="32"/>
          <w:szCs w:val="32"/>
          <w:lang w:val="en" w:eastAsia="zh-CN"/>
        </w:rPr>
        <w:t>关注官网通知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派位资格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符合电脑随机派位学区的招生对象（详见《华东师范大学附属深圳龙华学校招生录取方案》）</w:t>
      </w:r>
      <w:bookmarkStart w:id="0" w:name="_GoBack"/>
      <w:bookmarkEnd w:id="0"/>
      <w:r>
        <w:rPr>
          <w:rFonts w:hint="eastAsia" w:ascii="仿宋_GB2312" w:hAnsi="仿宋_GB2312" w:eastAsia="仿宋_GB2312" w:cs="仿宋_GB2312"/>
          <w:color w:val="auto"/>
          <w:sz w:val="32"/>
          <w:szCs w:val="32"/>
          <w:lang w:eastAsia="zh-CN"/>
        </w:rPr>
        <w:t>并网上申请学位时</w:t>
      </w:r>
      <w:r>
        <w:rPr>
          <w:rFonts w:hint="eastAsia" w:ascii="仿宋_GB2312" w:hAnsi="仿宋_GB2312" w:eastAsia="仿宋_GB2312" w:cs="仿宋_GB2312"/>
          <w:color w:val="auto"/>
          <w:sz w:val="32"/>
          <w:szCs w:val="32"/>
          <w:lang w:val="en" w:eastAsia="zh-CN"/>
        </w:rPr>
        <w:t>选择参与电脑随机派位</w:t>
      </w:r>
      <w:r>
        <w:rPr>
          <w:rFonts w:hint="default" w:ascii="仿宋_GB2312" w:hAnsi="仿宋_GB2312" w:eastAsia="仿宋_GB2312" w:cs="仿宋_GB2312"/>
          <w:color w:val="auto"/>
          <w:sz w:val="32"/>
          <w:szCs w:val="32"/>
          <w:lang w:val="en" w:eastAsia="zh-CN"/>
        </w:rPr>
        <w:t>且</w:t>
      </w:r>
      <w:r>
        <w:rPr>
          <w:rFonts w:hint="eastAsia" w:ascii="仿宋_GB2312" w:hAnsi="仿宋" w:eastAsia="仿宋_GB2312"/>
          <w:kern w:val="21"/>
          <w:sz w:val="32"/>
          <w:szCs w:val="32"/>
        </w:rPr>
        <w:t>就读与免费资格审核</w:t>
      </w:r>
      <w:r>
        <w:rPr>
          <w:rFonts w:hint="eastAsia" w:ascii="仿宋_GB2312" w:hAnsi="仿宋" w:eastAsia="仿宋_GB2312"/>
          <w:kern w:val="21"/>
          <w:sz w:val="32"/>
          <w:szCs w:val="32"/>
          <w:lang w:eastAsia="zh-CN"/>
        </w:rPr>
        <w:t>合格。</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、派位办法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根据学校小学一年级和初中一年级</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的招生计划数（简称派位计划数）</w:t>
      </w:r>
      <w:r>
        <w:rPr>
          <w:rFonts w:hint="eastAsia" w:ascii="仿宋_GB2312" w:hAnsi="仿宋_GB2312" w:eastAsia="仿宋_GB2312" w:cs="仿宋_GB2312"/>
          <w:color w:val="auto"/>
          <w:sz w:val="32"/>
          <w:szCs w:val="32"/>
          <w:lang w:val="en-US" w:eastAsia="zh-CN"/>
        </w:rPr>
        <w:t>进行电脑随机派位录取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、派位程序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楷体_GB2312" w:cs="仿宋_GB2312"/>
          <w:color w:val="auto"/>
          <w:sz w:val="32"/>
          <w:szCs w:val="32"/>
          <w:lang w:eastAsia="zh-CN"/>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派位前准备工作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人员。</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前，邀请公证机构人员、纪检人员、人大代表、政协委员以及学生家长代表于派位当天前往现场监督。</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家长代表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15人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的产生：</w:t>
      </w:r>
      <w:r>
        <w:rPr>
          <w:rFonts w:hint="eastAsia" w:ascii="仿宋_GB2312" w:hAnsi="仿宋_GB2312" w:eastAsia="仿宋_GB2312" w:cs="仿宋_GB2312"/>
          <w:color w:val="auto"/>
          <w:sz w:val="32"/>
          <w:szCs w:val="32"/>
        </w:rPr>
        <w:t>有意向到现场</w:t>
      </w:r>
      <w:r>
        <w:rPr>
          <w:rFonts w:hint="eastAsia" w:ascii="仿宋_GB2312" w:hAnsi="仿宋_GB2312" w:eastAsia="仿宋_GB2312" w:cs="仿宋_GB2312"/>
          <w:color w:val="auto"/>
          <w:sz w:val="32"/>
          <w:szCs w:val="32"/>
          <w:lang w:eastAsia="zh-CN"/>
        </w:rPr>
        <w:t>参加</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”的家长，可以通过预约方式申请，</w:t>
      </w:r>
      <w:r>
        <w:rPr>
          <w:rFonts w:hint="eastAsia" w:ascii="仿宋_GB2312" w:hAnsi="仿宋_GB2312" w:eastAsia="仿宋_GB2312" w:cs="仿宋_GB2312"/>
          <w:color w:val="auto"/>
          <w:sz w:val="32"/>
          <w:szCs w:val="32"/>
          <w:lang w:eastAsia="zh-CN"/>
        </w:rPr>
        <w:t>届时家长可进入招生报名系统</w:t>
      </w:r>
      <w:r>
        <w:rPr>
          <w:rFonts w:hint="eastAsia" w:ascii="仿宋_GB2312" w:hAnsi="仿宋_GB2312" w:eastAsia="仿宋_GB2312" w:cs="仿宋_GB2312"/>
          <w:color w:val="auto"/>
          <w:sz w:val="32"/>
          <w:szCs w:val="32"/>
        </w:rPr>
        <w:t>预约界面</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预约，额满为止。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.场地</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后勤准备。</w:t>
      </w:r>
      <w:r>
        <w:rPr>
          <w:rFonts w:hint="eastAsia" w:ascii="仿宋_GB2312" w:hAnsi="仿宋_GB2312" w:eastAsia="仿宋_GB2312" w:cs="仿宋_GB2312"/>
          <w:color w:val="auto"/>
          <w:sz w:val="32"/>
          <w:szCs w:val="32"/>
          <w:lang w:val="en-US" w:eastAsia="zh-CN"/>
        </w:rPr>
        <w:t>按照防疫要求，</w:t>
      </w:r>
      <w:r>
        <w:rPr>
          <w:rFonts w:hint="eastAsia" w:ascii="仿宋_GB2312" w:hAnsi="仿宋_GB2312" w:eastAsia="仿宋_GB2312" w:cs="仿宋_GB2312"/>
          <w:color w:val="auto"/>
          <w:sz w:val="32"/>
          <w:szCs w:val="32"/>
        </w:rPr>
        <w:t>提前做好现场各类人员的座位安排，入场指引；安排人员做好</w:t>
      </w:r>
      <w:r>
        <w:rPr>
          <w:rFonts w:hint="eastAsia" w:ascii="仿宋_GB2312" w:hAnsi="仿宋_GB2312" w:eastAsia="仿宋_GB2312" w:cs="仿宋_GB2312"/>
          <w:color w:val="auto"/>
          <w:sz w:val="32"/>
          <w:szCs w:val="32"/>
          <w:lang w:eastAsia="zh-CN"/>
        </w:rPr>
        <w:t>参加人员</w:t>
      </w:r>
      <w:r>
        <w:rPr>
          <w:rFonts w:hint="eastAsia" w:ascii="仿宋_GB2312" w:hAnsi="仿宋_GB2312" w:eastAsia="仿宋_GB2312" w:cs="仿宋_GB2312"/>
          <w:color w:val="auto"/>
          <w:sz w:val="32"/>
          <w:szCs w:val="32"/>
        </w:rPr>
        <w:t>身份的检查；保障</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所需设备和物品供应</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工作要求全程录像，提前落实拍摄人员以及录像器材准备。</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设备准备。</w:t>
      </w:r>
      <w:r>
        <w:rPr>
          <w:rFonts w:hint="eastAsia" w:ascii="仿宋_GB2312" w:hAnsi="仿宋_GB2312" w:eastAsia="仿宋_GB2312" w:cs="仿宋_GB2312"/>
          <w:color w:val="auto"/>
          <w:sz w:val="32"/>
          <w:szCs w:val="32"/>
        </w:rPr>
        <w:t>提前安装和检测</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现场所需的电脑、投影屏是否正常运作，做好</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工作全程技术支持，确保</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过程平稳顺利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前将参加</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的学校名单和待派位学生名单拷贝至光盘，交公证处公证人员检查存档，并以此名单作为</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最终数据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教育局委托有资质的第三方公司对本次学校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录取程序进行检测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派位前</w:t>
      </w:r>
      <w:r>
        <w:rPr>
          <w:rFonts w:hint="eastAsia" w:ascii="仿宋_GB2312" w:hAnsi="仿宋_GB2312" w:eastAsia="仿宋_GB2312" w:cs="仿宋_GB2312"/>
          <w:color w:val="auto"/>
          <w:sz w:val="32"/>
          <w:szCs w:val="32"/>
          <w:lang w:eastAsia="zh-CN"/>
        </w:rPr>
        <w:t>一天</w:t>
      </w:r>
      <w:r>
        <w:rPr>
          <w:rFonts w:hint="eastAsia" w:ascii="仿宋_GB2312" w:hAnsi="仿宋_GB2312" w:eastAsia="仿宋_GB2312" w:cs="仿宋_GB2312"/>
          <w:color w:val="auto"/>
          <w:sz w:val="32"/>
          <w:szCs w:val="32"/>
        </w:rPr>
        <w:t>，电脑技术人员在</w:t>
      </w:r>
      <w:r>
        <w:rPr>
          <w:rFonts w:hint="eastAsia" w:ascii="仿宋_GB2312" w:hAnsi="仿宋_GB2312" w:eastAsia="仿宋_GB2312" w:cs="仿宋_GB2312"/>
          <w:color w:val="auto"/>
          <w:sz w:val="32"/>
          <w:szCs w:val="32"/>
          <w:lang w:val="en-US" w:eastAsia="zh-CN"/>
        </w:rPr>
        <w:t>2名或以上</w:t>
      </w:r>
      <w:r>
        <w:rPr>
          <w:rFonts w:hint="eastAsia" w:ascii="仿宋_GB2312" w:hAnsi="仿宋_GB2312" w:eastAsia="仿宋_GB2312" w:cs="仿宋_GB2312"/>
          <w:color w:val="auto"/>
          <w:sz w:val="32"/>
          <w:szCs w:val="32"/>
          <w:lang w:eastAsia="zh-CN"/>
        </w:rPr>
        <w:t>公证处</w:t>
      </w:r>
      <w:r>
        <w:rPr>
          <w:rFonts w:hint="eastAsia" w:ascii="仿宋_GB2312" w:hAnsi="仿宋_GB2312" w:eastAsia="仿宋_GB2312" w:cs="仿宋_GB2312"/>
          <w:color w:val="auto"/>
          <w:sz w:val="32"/>
          <w:szCs w:val="32"/>
        </w:rPr>
        <w:t>公证人员公证下，将本次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使用的电脑进行格式化后重装系统，将待派位数据和</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录取程序导入电脑，现场封存。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（二）现场</w:t>
      </w:r>
      <w:r>
        <w:rPr>
          <w:rFonts w:hint="default" w:ascii="楷体_GB2312" w:hAnsi="楷体_GB2312" w:eastAsia="楷体_GB2312" w:cs="楷体_GB2312"/>
          <w:color w:val="auto"/>
          <w:sz w:val="32"/>
          <w:szCs w:val="32"/>
          <w:lang w:val="en"/>
        </w:rPr>
        <w:t>电脑随机派位</w:t>
      </w:r>
      <w:r>
        <w:rPr>
          <w:rFonts w:hint="eastAsia" w:ascii="楷体_GB2312" w:hAnsi="楷体_GB2312" w:eastAsia="楷体_GB2312" w:cs="楷体_GB2312"/>
          <w:color w:val="auto"/>
          <w:sz w:val="32"/>
          <w:szCs w:val="32"/>
        </w:rPr>
        <w:t>流程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第一步，启封设备和数据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当天，电脑技术人员在</w:t>
      </w:r>
      <w:r>
        <w:rPr>
          <w:rFonts w:hint="eastAsia" w:ascii="仿宋_GB2312" w:hAnsi="仿宋_GB2312" w:eastAsia="仿宋_GB2312" w:cs="仿宋_GB2312"/>
          <w:color w:val="auto"/>
          <w:sz w:val="32"/>
          <w:szCs w:val="32"/>
          <w:lang w:val="en-US" w:eastAsia="zh-CN"/>
        </w:rPr>
        <w:t>2名或以上</w:t>
      </w:r>
      <w:r>
        <w:rPr>
          <w:rFonts w:hint="eastAsia" w:ascii="仿宋_GB2312" w:hAnsi="仿宋_GB2312" w:eastAsia="仿宋_GB2312" w:cs="仿宋_GB2312"/>
          <w:color w:val="auto"/>
          <w:sz w:val="32"/>
          <w:szCs w:val="32"/>
        </w:rPr>
        <w:t>公证员的监督下启封用于</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录取的电脑，并确保该电脑处于断网单机状态。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第二步，宣布派位计划数和待派位人数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区教育局</w:t>
      </w:r>
      <w:r>
        <w:rPr>
          <w:rFonts w:hint="eastAsia" w:ascii="仿宋_GB2312" w:hAnsi="仿宋_GB2312" w:eastAsia="仿宋_GB2312" w:cs="仿宋_GB2312"/>
          <w:color w:val="auto"/>
          <w:sz w:val="32"/>
          <w:szCs w:val="32"/>
        </w:rPr>
        <w:t>宣布派位计划数，以及参加</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的“待派位”学生人数。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第三步，随机产生“派位号”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由电脑技术人员统一通过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录取程序随机为每个待派位学生产生“派位号”。小学一年级派位号为字母</w:t>
      </w:r>
      <w:r>
        <w:rPr>
          <w:rFonts w:hint="default" w:ascii="仿宋_GB2312" w:hAnsi="仿宋_GB2312" w:eastAsia="仿宋_GB2312" w:cs="仿宋_GB2312"/>
          <w:color w:val="auto"/>
          <w:sz w:val="32"/>
          <w:szCs w:val="32"/>
          <w:lang w:val="en" w:eastAsia="zh-CN"/>
        </w:rPr>
        <w:t>X</w:t>
      </w:r>
      <w:r>
        <w:rPr>
          <w:rFonts w:hint="eastAsia" w:ascii="仿宋_GB2312" w:hAnsi="仿宋_GB2312" w:eastAsia="仿宋_GB2312" w:cs="仿宋_GB2312"/>
          <w:color w:val="auto"/>
          <w:sz w:val="32"/>
          <w:szCs w:val="32"/>
        </w:rPr>
        <w:t>开头，初中一年级派位号为字母</w:t>
      </w:r>
      <w:r>
        <w:rPr>
          <w:rFonts w:hint="default" w:ascii="仿宋_GB2312" w:hAnsi="仿宋_GB2312" w:eastAsia="仿宋_GB2312" w:cs="仿宋_GB2312"/>
          <w:color w:val="auto"/>
          <w:sz w:val="32"/>
          <w:szCs w:val="32"/>
          <w:lang w:val="en" w:eastAsia="zh-CN"/>
        </w:rPr>
        <w:t>C</w:t>
      </w:r>
      <w:r>
        <w:rPr>
          <w:rFonts w:hint="eastAsia" w:ascii="仿宋_GB2312" w:hAnsi="仿宋_GB2312" w:eastAsia="仿宋_GB2312" w:cs="仿宋_GB2312"/>
          <w:color w:val="auto"/>
          <w:sz w:val="32"/>
          <w:szCs w:val="32"/>
        </w:rPr>
        <w:t>开头。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1.备选“派位号”的产生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为确保“派位号”的产生无人为因素控制，先产生N组备选“派位号”（为增加随机性，N的取值在3-9之间），然后在N组备选“派位号”中摇选其中一组为正式“派位号”。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具体操作：先由家长代表用摇珠机摇出一个号珠，确定产生备选“派位号”的组数，再由电脑技术人员通过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录取程序随机产生相应组数的备选“派位号”（每组派位号包含小学一年级和初中一年级）。每组备选“派位号”产生后，电脑技术人员须及时导出备份并进行编号。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color w:val="auto"/>
        </w:rPr>
        <mc:AlternateContent>
          <mc:Choice Requires="wps">
            <w:drawing>
              <wp:anchor distT="0" distB="0" distL="114300" distR="114300" simplePos="0" relativeHeight="251662336" behindDoc="0" locked="0" layoutInCell="1" allowOverlap="1">
                <wp:simplePos x="0" y="0"/>
                <wp:positionH relativeFrom="column">
                  <wp:posOffset>1740535</wp:posOffset>
                </wp:positionH>
                <wp:positionV relativeFrom="paragraph">
                  <wp:posOffset>9821545</wp:posOffset>
                </wp:positionV>
                <wp:extent cx="5298440" cy="1432560"/>
                <wp:effectExtent l="4445" t="4445" r="15875" b="10795"/>
                <wp:wrapNone/>
                <wp:docPr id="5" name="文本框 5"/>
                <wp:cNvGraphicFramePr/>
                <a:graphic xmlns:a="http://schemas.openxmlformats.org/drawingml/2006/main">
                  <a:graphicData uri="http://schemas.microsoft.com/office/word/2010/wordprocessingShape">
                    <wps:wsp>
                      <wps:cNvSpPr txBox="1"/>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1"/>
                    </wps:wsp>
                  </a:graphicData>
                </a:graphic>
              </wp:anchor>
            </w:drawing>
          </mc:Choice>
          <mc:Fallback>
            <w:pict>
              <v:shape id="_x0000_s1026" o:spid="_x0000_s1026" o:spt="202" type="#_x0000_t202" style="position:absolute;left:0pt;margin-left:137.05pt;margin-top:773.35pt;height:112.8pt;width:417.2pt;z-index:251662336;mso-width-relative:page;mso-height-relative:page;" fillcolor="#FFFFFF" filled="t" stroked="t" coordsize="21600,21600" o:gfxdata="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9Hkt3AAAAA4BAAAPAAAAAAAA&#10;AAEAIAAAACIAAABkcnMvZG93bnJldi54bWxQSwECFAAUAAAACACHTuJAe1ExmA4CAAA3BAAADgAA&#10;AAAAAAABACAAAAArAQAAZHJzL2Uyb0RvYy54bWxQSwUGAAAAAAYABgBZAQAAqwU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1435735</wp:posOffset>
                </wp:positionH>
                <wp:positionV relativeFrom="paragraph">
                  <wp:posOffset>9516745</wp:posOffset>
                </wp:positionV>
                <wp:extent cx="5298440" cy="1432560"/>
                <wp:effectExtent l="4445" t="4445" r="15875" b="10795"/>
                <wp:wrapNone/>
                <wp:docPr id="3" name="文本框 3"/>
                <wp:cNvGraphicFramePr/>
                <a:graphic xmlns:a="http://schemas.openxmlformats.org/drawingml/2006/main">
                  <a:graphicData uri="http://schemas.microsoft.com/office/word/2010/wordprocessingShape">
                    <wps:wsp>
                      <wps:cNvSpPr txBox="1"/>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1"/>
                    </wps:wsp>
                  </a:graphicData>
                </a:graphic>
              </wp:anchor>
            </w:drawing>
          </mc:Choice>
          <mc:Fallback>
            <w:pict>
              <v:shape id="_x0000_s1026" o:spid="_x0000_s1026" o:spt="202" type="#_x0000_t202" style="position:absolute;left:0pt;margin-left:113.05pt;margin-top:749.35pt;height:112.8pt;width:417.2pt;z-index:251660288;mso-width-relative:page;mso-height-relative:page;" fillcolor="#FFFFFF" filled="t" stroked="t" coordsize="21600,21600" o:gfxdata="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pVER3AAAAA4BAAAPAAAAAAAA&#10;AAEAIAAAACIAAABkcnMvZG93bnJldi54bWxQSwECFAAUAAAACACHTuJAMJRnjA4CAAA3BAAADgAA&#10;AAAAAAABACAAAAArAQAAZHJzL2Uyb0RvYy54bWxQSwUGAAAAAAYABgBZAQAAqwU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1283335</wp:posOffset>
                </wp:positionH>
                <wp:positionV relativeFrom="paragraph">
                  <wp:posOffset>9364345</wp:posOffset>
                </wp:positionV>
                <wp:extent cx="5298440" cy="1432560"/>
                <wp:effectExtent l="4445" t="4445" r="15875" b="10795"/>
                <wp:wrapNone/>
                <wp:docPr id="2" name="文本框 2"/>
                <wp:cNvGraphicFramePr/>
                <a:graphic xmlns:a="http://schemas.openxmlformats.org/drawingml/2006/main">
                  <a:graphicData uri="http://schemas.microsoft.com/office/word/2010/wordprocessingShape">
                    <wps:wsp>
                      <wps:cNvSpPr txBox="1"/>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1"/>
                    </wps:wsp>
                  </a:graphicData>
                </a:graphic>
              </wp:anchor>
            </w:drawing>
          </mc:Choice>
          <mc:Fallback>
            <w:pict>
              <v:shape id="_x0000_s1026" o:spid="_x0000_s1026" o:spt="202" type="#_x0000_t202" style="position:absolute;left:0pt;margin-left:101.05pt;margin-top:737.35pt;height:112.8pt;width:417.2pt;z-index:251659264;mso-width-relative:page;mso-height-relative:page;" fillcolor="#FFFFFF" filled="t" stroked="t" coordsize="21600,21600" o:gfxdata="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9XGv3AAAAA4BAAAPAAAAAAAA&#10;AAEAIAAAACIAAABkcnMvZG93bnJldi54bWxQSwECFAAUAAAACACHTuJAjDbGZw4CAAA3BAAADgAA&#10;AAAAAAABACAAAAArAQAAZHJzL2Uyb0RvYy54bWxQSwUGAAAAAAYABgBZAQAAqwU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p>
    <w:p>
      <w:pPr>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274955</wp:posOffset>
                </wp:positionH>
                <wp:positionV relativeFrom="paragraph">
                  <wp:posOffset>-347345</wp:posOffset>
                </wp:positionV>
                <wp:extent cx="5066665" cy="1447165"/>
                <wp:effectExtent l="4445" t="4445" r="19050" b="11430"/>
                <wp:wrapNone/>
                <wp:docPr id="6" name="文本框 6"/>
                <wp:cNvGraphicFramePr/>
                <a:graphic xmlns:a="http://schemas.openxmlformats.org/drawingml/2006/main">
                  <a:graphicData uri="http://schemas.microsoft.com/office/word/2010/wordprocessingShape">
                    <wps:wsp>
                      <wps:cNvSpPr txBox="1"/>
                      <wps:spPr>
                        <a:xfrm>
                          <a:off x="1276985" y="4476115"/>
                          <a:ext cx="5066665"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pacing w:line="400" w:lineRule="exact"/>
                              <w:ind w:firstLine="422"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5pt;margin-top:-27.35pt;height:113.95pt;width:398.95pt;z-index:251661312;mso-width-relative:page;mso-height-relative:page;" fillcolor="#FFFFFF [3201]" filled="t" stroked="t" coordsize="21600,21600" o:gfxdata="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y4Zba1wAAAAoBAAAPAAAAAAAAAAEAIAAAACIAAABkcnMvZG93bnJldi54bWxQSwECFAAUAAAA&#10;CACHTuJA3d1MJ2ECAADEBAAADgAAAAAAAAABACAAAAAmAQAAZHJzL2Uyb0RvYy54bWxQSwUGAAAA&#10;AAYABgBZAQAA+QUAAAAA&#10;">
                <v:fill on="t" focussize="0,0"/>
                <v:stroke weight="0.5pt" color="#000000 [3204]" joinstyle="round"/>
                <v:imagedata o:title=""/>
                <o:lock v:ext="edit" aspectratio="f"/>
                <v:textbox>
                  <w:txbxContent>
                    <w:p>
                      <w:pPr>
                        <w:widowControl/>
                        <w:spacing w:line="400" w:lineRule="exact"/>
                        <w:ind w:firstLine="422"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p/>
                  </w:txbxContent>
                </v:textbox>
              </v:shape>
            </w:pict>
          </mc:Fallback>
        </mc:AlternateConten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2.正式“派位号”的产生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备选“派位号”产生后，由家长代表用摇珠机摇号的方式，确定其中一组备选“派位号”为正式“派位号”。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正式“派位号”产生后，电脑技术人员将数据拷贝给公证人员存档；同时将正式“派位号”导入招生平台，学生家长可在招生平台查看个人相应的“派位号”。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141605</wp:posOffset>
                </wp:positionH>
                <wp:positionV relativeFrom="paragraph">
                  <wp:posOffset>191770</wp:posOffset>
                </wp:positionV>
                <wp:extent cx="5120640" cy="1188720"/>
                <wp:effectExtent l="4445" t="4445" r="10795" b="10795"/>
                <wp:wrapNone/>
                <wp:docPr id="7" name="文本框 7"/>
                <wp:cNvGraphicFramePr/>
                <a:graphic xmlns:a="http://schemas.openxmlformats.org/drawingml/2006/main">
                  <a:graphicData uri="http://schemas.microsoft.com/office/word/2010/wordprocessingShape">
                    <wps:wsp>
                      <wps:cNvSpPr txBox="1"/>
                      <wps:spPr>
                        <a:xfrm>
                          <a:off x="1330325" y="7330440"/>
                          <a:ext cx="5120640" cy="1188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pacing w:line="400" w:lineRule="exact"/>
                              <w:ind w:firstLine="422"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r>
                              <w:rPr>
                                <w:rFonts w:hint="eastAsia" w:eastAsia="仿宋_GB2312"/>
                                <w:bCs/>
                                <w:color w:val="000000"/>
                                <w:kern w:val="0"/>
                                <w:szCs w:val="21"/>
                              </w:rPr>
                              <w:t xml:space="preserve">   </w:t>
                            </w:r>
                            <w:r>
                              <w:rPr>
                                <w:rFonts w:hint="eastAsia" w:eastAsia="仿宋_GB2312"/>
                                <w:b/>
                                <w:bCs/>
                                <w:color w:val="000000"/>
                                <w:kern w:val="0"/>
                                <w:szCs w:val="21"/>
                              </w:rPr>
                              <w:t xml:space="preserve"> </w:t>
                            </w:r>
                            <w:r>
                              <w:rPr>
                                <w:rFonts w:hint="eastAsia" w:eastAsia="仿宋_GB2312"/>
                                <w:bCs/>
                                <w:color w:val="000000"/>
                                <w:kern w:val="0"/>
                                <w:szCs w:val="21"/>
                              </w:rPr>
                              <w:t>如上一环节共产生5组备选“派位号”，工作人员在摇珠机里放入1-5号共5个号珠，由家长代表现场摇出其中一个号珠。如抽出的号珠为“3”，就以第3组备选“派位号”作为正式“派位号”；如抽出的号珠为“1”，就以第1组备选“派位号”作为正式“派位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5pt;margin-top:15.1pt;height:93.6pt;width:403.2pt;z-index:251662336;mso-width-relative:page;mso-height-relative:page;" fillcolor="#FFFFFF [3201]" filled="t" stroked="t" coordsize="21600,21600" o:gfxdata="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SR1A9YAAAAJAQAADwAAAAAAAAABACAAAAAiAAAAZHJzL2Rvd25yZXYueG1sUEsBAhQAFAAA&#10;AAgAh07iQHOcYBRjAgAAxAQAAA4AAAAAAAAAAQAgAAAAJQEAAGRycy9lMm9Eb2MueG1sUEsFBgAA&#10;AAAGAAYAWQEAAPoFAAAAAA==&#10;">
                <v:fill on="t" focussize="0,0"/>
                <v:stroke weight="0.5pt" color="#000000 [3204]" joinstyle="round"/>
                <v:imagedata o:title=""/>
                <o:lock v:ext="edit" aspectratio="f"/>
                <v:textbox>
                  <w:txbxContent>
                    <w:p>
                      <w:pPr>
                        <w:widowControl/>
                        <w:spacing w:line="400" w:lineRule="exact"/>
                        <w:ind w:firstLine="422"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r>
                        <w:rPr>
                          <w:rFonts w:hint="eastAsia" w:eastAsia="仿宋_GB2312"/>
                          <w:bCs/>
                          <w:color w:val="000000"/>
                          <w:kern w:val="0"/>
                          <w:szCs w:val="21"/>
                        </w:rPr>
                        <w:t xml:space="preserve">   </w:t>
                      </w:r>
                      <w:r>
                        <w:rPr>
                          <w:rFonts w:hint="eastAsia" w:eastAsia="仿宋_GB2312"/>
                          <w:b/>
                          <w:bCs/>
                          <w:color w:val="000000"/>
                          <w:kern w:val="0"/>
                          <w:szCs w:val="21"/>
                        </w:rPr>
                        <w:t xml:space="preserve"> </w:t>
                      </w:r>
                      <w:r>
                        <w:rPr>
                          <w:rFonts w:hint="eastAsia" w:eastAsia="仿宋_GB2312"/>
                          <w:bCs/>
                          <w:color w:val="000000"/>
                          <w:kern w:val="0"/>
                          <w:szCs w:val="21"/>
                        </w:rPr>
                        <w:t>如上一环节共产生5组备选“派位号”，工作人员在摇珠机里放入1-5号共5个号珠，由家长代表现场摇出其中一个号珠。如抽出的号珠为“3”，就以第3组备选“派位号”作为正式“派位号”；如抽出的号珠为“1”，就以第1组备选“派位号”作为正式“派位号”。</w:t>
                      </w:r>
                    </w:p>
                  </w:txbxContent>
                </v:textbox>
              </v:shape>
            </w:pict>
          </mc:Fallback>
        </mc:AlternateContent>
      </w:r>
    </w:p>
    <w:p>
      <w:pPr>
        <w:ind w:firstLine="640"/>
        <w:rPr>
          <w:rFonts w:hint="eastAsia" w:ascii="仿宋_GB2312" w:hAnsi="仿宋_GB2312" w:eastAsia="仿宋_GB2312" w:cs="仿宋_GB2312"/>
          <w:color w:val="auto"/>
          <w:sz w:val="32"/>
          <w:szCs w:val="32"/>
        </w:rPr>
      </w:pPr>
    </w:p>
    <w:p>
      <w:pPr>
        <w:ind w:firstLine="640"/>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3.若</w:t>
      </w:r>
      <w:r>
        <w:rPr>
          <w:rFonts w:hint="eastAsia" w:ascii="仿宋_GB2312" w:hAnsi="仿宋_GB2312" w:eastAsia="仿宋_GB2312" w:cs="仿宋_GB2312"/>
          <w:color w:val="auto"/>
          <w:sz w:val="32"/>
          <w:szCs w:val="32"/>
        </w:rPr>
        <w:t>在摇号过程中号珠被摇号机卡住，被卡的号珠应予重摇。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步，按</w:t>
      </w:r>
      <w:r>
        <w:rPr>
          <w:rFonts w:hint="eastAsia" w:ascii="仿宋_GB2312" w:hAnsi="仿宋_GB2312" w:eastAsia="仿宋_GB2312" w:cs="仿宋_GB2312"/>
          <w:color w:val="auto"/>
          <w:sz w:val="32"/>
          <w:szCs w:val="32"/>
          <w:lang w:val="en-US" w:eastAsia="zh-CN"/>
        </w:rPr>
        <w:t>计划数随机</w:t>
      </w:r>
      <w:r>
        <w:rPr>
          <w:rFonts w:hint="eastAsia" w:ascii="仿宋_GB2312" w:hAnsi="仿宋_GB2312" w:eastAsia="仿宋_GB2312" w:cs="仿宋_GB2312"/>
          <w:color w:val="auto"/>
          <w:sz w:val="32"/>
          <w:szCs w:val="32"/>
        </w:rPr>
        <w:t>录取</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1.分“小学一年级”和“初中一年级”两批次进行。在每批次录取中，电脑技术人员通过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录取程序，根据参与</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的学校（简称“派位学校”）的派位计划数</w:t>
      </w:r>
      <w:r>
        <w:rPr>
          <w:rFonts w:hint="eastAsia" w:ascii="仿宋_GB2312" w:hAnsi="仿宋_GB2312" w:eastAsia="仿宋_GB2312" w:cs="仿宋_GB2312"/>
          <w:color w:val="auto"/>
          <w:sz w:val="32"/>
          <w:szCs w:val="32"/>
          <w:lang w:val="en-US" w:eastAsia="zh-CN"/>
        </w:rPr>
        <w:t>随机录取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额满为止。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派位过程：点击“开始派位”按钮，开始电脑随机派位，程序派位完成后，系统自动显示“派位完成”并同时显示派中的派位号。派位完成后，可点击“截屏”按钮把派位结果以图片的方式另存到指定文件夹，也可点击“导出派位结果”的按钮将派位结果以excel表格另存到指定文件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2.现场检查派中名单截图与excel表格派中名单是否一致。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录取程序，将派位学校小学一年级和初中一年级完成录取后，将录取结果拷贝给公证人员存档；电脑技术人员将录取结果导入“招生平台”，学生家长可以在招生平台查看个人</w:t>
      </w:r>
      <w:r>
        <w:rPr>
          <w:rFonts w:hint="eastAsia" w:ascii="仿宋_GB2312" w:hAnsi="仿宋_GB2312" w:eastAsia="仿宋_GB2312" w:cs="仿宋_GB2312"/>
          <w:color w:val="auto"/>
          <w:sz w:val="32"/>
          <w:szCs w:val="32"/>
          <w:lang w:val="en-US" w:eastAsia="zh-CN"/>
        </w:rPr>
        <w:t>派位结果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步，公证员宣读公证结果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公证员宣读公证结果。电脑技术人员将录取结果拷贝到光盘或U盘，并用信封装好密封；教育部门负责人，公证员、人大代表、政协委员代表、纪检人员在信封上签名。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b w:val="0"/>
          <w:bCs/>
          <w:color w:val="auto"/>
          <w:sz w:val="32"/>
          <w:szCs w:val="32"/>
          <w:lang w:eastAsia="zh-CN"/>
        </w:rPr>
      </w:pPr>
      <w:r>
        <w:rPr>
          <w:rFonts w:hint="eastAsia" w:ascii="CESI黑体-GB2312" w:hAnsi="CESI黑体-GB2312" w:eastAsia="CESI黑体-GB2312" w:cs="CESI黑体-GB2312"/>
          <w:b w:val="0"/>
          <w:bCs/>
          <w:color w:val="auto"/>
          <w:sz w:val="32"/>
          <w:szCs w:val="32"/>
          <w:lang w:val="en-US" w:eastAsia="zh-CN"/>
        </w:rPr>
        <w:t>八、</w:t>
      </w:r>
      <w:r>
        <w:rPr>
          <w:rFonts w:hint="eastAsia" w:ascii="CESI黑体-GB2312" w:hAnsi="CESI黑体-GB2312" w:eastAsia="CESI黑体-GB2312" w:cs="CESI黑体-GB2312"/>
          <w:b w:val="0"/>
          <w:bCs/>
          <w:color w:val="auto"/>
          <w:sz w:val="32"/>
          <w:szCs w:val="32"/>
          <w:lang w:eastAsia="zh-CN"/>
        </w:rPr>
        <w:t>学位安排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己</w:t>
      </w:r>
      <w:r>
        <w:rPr>
          <w:rFonts w:hint="eastAsia" w:ascii="仿宋_GB2312" w:hAnsi="仿宋_GB2312" w:eastAsia="仿宋_GB2312" w:cs="仿宋_GB2312"/>
          <w:color w:val="auto"/>
          <w:sz w:val="32"/>
          <w:szCs w:val="32"/>
          <w:lang w:eastAsia="zh-CN"/>
        </w:rPr>
        <w:t>录取的学生</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按照学校相关要求按时注册。已录取</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eastAsia="zh-CN"/>
        </w:rPr>
        <w:t>放弃该派位学校学位</w:t>
      </w:r>
      <w:r>
        <w:rPr>
          <w:rFonts w:hint="eastAsia" w:ascii="仿宋_GB2312" w:hAnsi="仿宋_GB2312" w:eastAsia="仿宋_GB2312" w:cs="仿宋_GB2312"/>
          <w:color w:val="auto"/>
          <w:sz w:val="32"/>
          <w:szCs w:val="32"/>
          <w:lang w:val="en-US" w:eastAsia="zh-CN"/>
        </w:rPr>
        <w:t>的学生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教育主管部门不再统筹安排其学位，</w:t>
      </w:r>
      <w:r>
        <w:rPr>
          <w:rFonts w:hint="eastAsia" w:ascii="仿宋_GB2312" w:hAnsi="仿宋_GB2312" w:eastAsia="仿宋_GB2312" w:cs="仿宋_GB2312"/>
          <w:color w:val="auto"/>
          <w:sz w:val="32"/>
          <w:szCs w:val="32"/>
        </w:rPr>
        <w:t>空</w:t>
      </w:r>
      <w:r>
        <w:rPr>
          <w:rFonts w:hint="eastAsia" w:ascii="仿宋_GB2312" w:hAnsi="仿宋_GB2312" w:eastAsia="仿宋_GB2312" w:cs="仿宋_GB2312"/>
          <w:color w:val="auto"/>
          <w:sz w:val="32"/>
          <w:szCs w:val="32"/>
          <w:lang w:eastAsia="zh-CN"/>
        </w:rPr>
        <w:t>出的</w:t>
      </w:r>
      <w:r>
        <w:rPr>
          <w:rFonts w:hint="eastAsia" w:ascii="仿宋_GB2312" w:hAnsi="仿宋_GB2312" w:eastAsia="仿宋_GB2312" w:cs="仿宋_GB2312"/>
          <w:color w:val="auto"/>
          <w:sz w:val="32"/>
          <w:szCs w:val="32"/>
        </w:rPr>
        <w:t>学位</w:t>
      </w:r>
      <w:r>
        <w:rPr>
          <w:rFonts w:hint="eastAsia" w:ascii="仿宋_GB2312" w:hAnsi="仿宋_GB2312" w:eastAsia="仿宋_GB2312" w:cs="仿宋_GB2312"/>
          <w:color w:val="auto"/>
          <w:sz w:val="32"/>
          <w:szCs w:val="32"/>
          <w:lang w:eastAsia="zh-CN"/>
        </w:rPr>
        <w:t>也</w:t>
      </w:r>
      <w:r>
        <w:rPr>
          <w:rFonts w:hint="eastAsia" w:ascii="仿宋_GB2312" w:hAnsi="仿宋_GB2312" w:eastAsia="仿宋_GB2312" w:cs="仿宋_GB2312"/>
          <w:color w:val="auto"/>
          <w:sz w:val="32"/>
          <w:szCs w:val="32"/>
        </w:rPr>
        <w:t>不予</w:t>
      </w:r>
      <w:r>
        <w:rPr>
          <w:rFonts w:hint="eastAsia" w:ascii="仿宋_GB2312" w:hAnsi="仿宋_GB2312" w:eastAsia="仿宋_GB2312" w:cs="仿宋_GB2312"/>
          <w:color w:val="auto"/>
          <w:sz w:val="32"/>
          <w:szCs w:val="32"/>
          <w:lang w:eastAsia="zh-CN"/>
        </w:rPr>
        <w:t>补录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未被派位学校录取的自动进入原片区学校参与正常录取流程。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b w:val="0"/>
          <w:bCs/>
          <w:color w:val="auto"/>
          <w:sz w:val="32"/>
          <w:szCs w:val="32"/>
          <w:lang w:val="en-US" w:eastAsia="zh-CN"/>
        </w:rPr>
        <w:t>九</w:t>
      </w:r>
      <w:r>
        <w:rPr>
          <w:rFonts w:hint="default" w:ascii="CESI黑体-GB2312" w:hAnsi="CESI黑体-GB2312" w:eastAsia="CESI黑体-GB2312" w:cs="CESI黑体-GB2312"/>
          <w:b w:val="0"/>
          <w:bCs/>
          <w:color w:val="auto"/>
          <w:sz w:val="32"/>
          <w:szCs w:val="32"/>
          <w:lang w:val="en-US" w:eastAsia="zh-CN"/>
        </w:rPr>
        <w:t>、应急处置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仿宋_GB2312" w:hAnsi="仿宋_GB2312" w:eastAsia="仿宋_GB2312" w:cs="仿宋_GB2312"/>
          <w:color w:val="auto"/>
          <w:sz w:val="32"/>
          <w:szCs w:val="32"/>
          <w:lang w:val="en-US" w:eastAsia="zh-CN"/>
        </w:rPr>
        <w:t>在</w:t>
      </w:r>
      <w:r>
        <w:rPr>
          <w:rFonts w:hint="default" w:ascii="仿宋_GB2312" w:hAnsi="仿宋_GB2312" w:eastAsia="仿宋_GB2312" w:cs="仿宋_GB2312"/>
          <w:color w:val="auto"/>
          <w:sz w:val="32"/>
          <w:szCs w:val="32"/>
          <w:lang w:val="en" w:eastAsia="zh-CN"/>
        </w:rPr>
        <w:t>电脑随机派位</w:t>
      </w:r>
      <w:r>
        <w:rPr>
          <w:rFonts w:hint="default" w:ascii="仿宋_GB2312" w:hAnsi="仿宋_GB2312" w:eastAsia="仿宋_GB2312" w:cs="仿宋_GB2312"/>
          <w:color w:val="auto"/>
          <w:sz w:val="32"/>
          <w:szCs w:val="32"/>
          <w:lang w:val="en-US" w:eastAsia="zh-CN"/>
        </w:rPr>
        <w:t>过程中，如发生电脑、软件故障，应启用备用电脑重新进行，故障发生前已经</w:t>
      </w:r>
      <w:r>
        <w:rPr>
          <w:rFonts w:hint="default" w:ascii="仿宋_GB2312" w:hAnsi="仿宋_GB2312" w:eastAsia="仿宋_GB2312" w:cs="仿宋_GB2312"/>
          <w:color w:val="auto"/>
          <w:sz w:val="32"/>
          <w:szCs w:val="32"/>
          <w:lang w:val="en" w:eastAsia="zh-CN"/>
        </w:rPr>
        <w:t>电脑随机派位</w:t>
      </w:r>
      <w:r>
        <w:rPr>
          <w:rFonts w:hint="default" w:ascii="仿宋_GB2312" w:hAnsi="仿宋_GB2312" w:eastAsia="仿宋_GB2312" w:cs="仿宋_GB2312"/>
          <w:color w:val="auto"/>
          <w:sz w:val="32"/>
          <w:szCs w:val="32"/>
          <w:lang w:val="en-US" w:eastAsia="zh-CN"/>
        </w:rPr>
        <w:t>产生的结果作废。如启用备用电脑后仍发生故障，且在1小时内无法排除，导致电脑随机派位招生录取活动无法继续的，应当终止本次电脑随机派位招生录取活动，另行选择时间重新举行电脑随机派位招生录取活动，故障发生前已经电脑随机派位产生的结果作废。公证员如</w:t>
      </w: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val="en-US" w:eastAsia="zh-CN"/>
        </w:rPr>
        <w:t>电脑随机派位结果有异议的，必须经过鉴定机构对电脑随机派位使用的电脑及软件进行鉴定，根据鉴定结果确定是否重新进行电脑随机派位。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仿宋_GB2312" w:hAnsi="仿宋_GB2312" w:eastAsia="仿宋_GB2312" w:cs="仿宋_GB2312"/>
          <w:color w:val="auto"/>
          <w:sz w:val="32"/>
          <w:szCs w:val="32"/>
          <w:lang w:val="en-US" w:eastAsia="zh-CN"/>
        </w:rPr>
        <w:t>如电脑随机派位招生录取活动现场发生纷争、秩序混乱或发生其他可能影响电脑随机派位招生录取活动正常进行的情形，无法当场解决的，则终止本次电脑随机派位招生录取活动，另行选择时间重新举行电脑随机派位招生录取活动，终止前已经电脑随机派位产生的结果作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b w:val="0"/>
          <w:bCs/>
          <w:color w:val="auto"/>
          <w:sz w:val="32"/>
          <w:szCs w:val="32"/>
          <w:lang w:val="en-US" w:eastAsia="zh-CN"/>
        </w:rPr>
        <w:t>十</w:t>
      </w:r>
      <w:r>
        <w:rPr>
          <w:rFonts w:hint="default" w:ascii="CESI黑体-GB2312" w:hAnsi="CESI黑体-GB2312" w:eastAsia="CESI黑体-GB2312" w:cs="CESI黑体-GB2312"/>
          <w:b w:val="0"/>
          <w:bCs/>
          <w:color w:val="auto"/>
          <w:sz w:val="32"/>
          <w:szCs w:val="32"/>
          <w:lang w:val="en-US" w:eastAsia="zh-CN"/>
        </w:rPr>
        <w:t>、</w:t>
      </w:r>
      <w:r>
        <w:rPr>
          <w:rFonts w:hint="eastAsia" w:ascii="CESI黑体-GB2312" w:hAnsi="CESI黑体-GB2312" w:eastAsia="CESI黑体-GB2312" w:cs="CESI黑体-GB2312"/>
          <w:b w:val="0"/>
          <w:bCs/>
          <w:color w:val="auto"/>
          <w:sz w:val="32"/>
          <w:szCs w:val="32"/>
          <w:lang w:val="en-US" w:eastAsia="zh-CN"/>
        </w:rPr>
        <w:t>最终</w:t>
      </w:r>
      <w:r>
        <w:rPr>
          <w:rFonts w:hint="default" w:ascii="CESI黑体-GB2312" w:hAnsi="CESI黑体-GB2312" w:eastAsia="CESI黑体-GB2312" w:cs="CESI黑体-GB2312"/>
          <w:b w:val="0"/>
          <w:bCs/>
          <w:color w:val="auto"/>
          <w:sz w:val="32"/>
          <w:szCs w:val="32"/>
          <w:lang w:val="en-US" w:eastAsia="zh-CN"/>
        </w:rPr>
        <w:t>解释权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学生电脑随机派位资格审查及随机派位流程由</w:t>
      </w:r>
      <w:r>
        <w:rPr>
          <w:rFonts w:hint="eastAsia" w:ascii="仿宋_GB2312" w:hAnsi="仿宋_GB2312" w:eastAsia="仿宋_GB2312" w:cs="仿宋_GB2312"/>
          <w:color w:val="auto"/>
          <w:sz w:val="32"/>
          <w:szCs w:val="32"/>
          <w:lang w:val="en-US" w:eastAsia="zh-CN"/>
        </w:rPr>
        <w:t>龙华区教育局</w:t>
      </w:r>
      <w:r>
        <w:rPr>
          <w:rFonts w:hint="default" w:ascii="仿宋_GB2312" w:hAnsi="仿宋_GB2312" w:eastAsia="仿宋_GB2312" w:cs="仿宋_GB2312"/>
          <w:color w:val="auto"/>
          <w:sz w:val="32"/>
          <w:szCs w:val="32"/>
          <w:lang w:val="en-US" w:eastAsia="zh-CN"/>
        </w:rPr>
        <w:t>负责解释；电脑随机派位软件问题由软件开发公司和软件检测公司共同负责解释；电脑随机派位程序公开、公平、公正问题由公证处负责解释。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44" w:leftChars="21" w:right="45" w:firstLine="640" w:firstLineChars="200"/>
        <w:jc w:val="left"/>
        <w:textAlignment w:val="auto"/>
        <w:rPr>
          <w:rFonts w:hint="default" w:eastAsia="仿宋_GB2312"/>
          <w:bCs/>
          <w:color w:val="000000"/>
          <w:kern w:val="0"/>
          <w:sz w:val="32"/>
          <w:szCs w:val="32"/>
          <w:lang w:val="en-US" w:eastAsia="zh-CN"/>
        </w:rPr>
      </w:pPr>
    </w:p>
    <w:sectPr>
      <w:pgSz w:w="11906" w:h="16838"/>
      <w:pgMar w:top="215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6146"/>
    <w:rsid w:val="01017684"/>
    <w:rsid w:val="011937D7"/>
    <w:rsid w:val="01E9323E"/>
    <w:rsid w:val="02020259"/>
    <w:rsid w:val="039B5B6E"/>
    <w:rsid w:val="03D90444"/>
    <w:rsid w:val="044E2BE0"/>
    <w:rsid w:val="054020B2"/>
    <w:rsid w:val="05E97064"/>
    <w:rsid w:val="06826B27"/>
    <w:rsid w:val="069D65A2"/>
    <w:rsid w:val="06DF0467"/>
    <w:rsid w:val="06F2019A"/>
    <w:rsid w:val="0708176C"/>
    <w:rsid w:val="07577FFE"/>
    <w:rsid w:val="075E232B"/>
    <w:rsid w:val="076F2F72"/>
    <w:rsid w:val="07CD4764"/>
    <w:rsid w:val="08534C69"/>
    <w:rsid w:val="08DD09D6"/>
    <w:rsid w:val="08FF094D"/>
    <w:rsid w:val="0A700A4D"/>
    <w:rsid w:val="0A8E01DA"/>
    <w:rsid w:val="0AC7549A"/>
    <w:rsid w:val="0AC97464"/>
    <w:rsid w:val="0B100BEF"/>
    <w:rsid w:val="0BA53A2D"/>
    <w:rsid w:val="0BC67500"/>
    <w:rsid w:val="0BCB0A74"/>
    <w:rsid w:val="0CEF6BD7"/>
    <w:rsid w:val="0D4C612B"/>
    <w:rsid w:val="0D8B27AF"/>
    <w:rsid w:val="0DE5138A"/>
    <w:rsid w:val="0F751969"/>
    <w:rsid w:val="1021564D"/>
    <w:rsid w:val="105A46BB"/>
    <w:rsid w:val="105B7E72"/>
    <w:rsid w:val="108D683E"/>
    <w:rsid w:val="10A03AEF"/>
    <w:rsid w:val="112069C4"/>
    <w:rsid w:val="113F098A"/>
    <w:rsid w:val="11F36B75"/>
    <w:rsid w:val="1209283C"/>
    <w:rsid w:val="13F41A5D"/>
    <w:rsid w:val="15D4447F"/>
    <w:rsid w:val="16EF0253"/>
    <w:rsid w:val="16F75359"/>
    <w:rsid w:val="176D73C9"/>
    <w:rsid w:val="17FE1E88"/>
    <w:rsid w:val="183A374F"/>
    <w:rsid w:val="19314B52"/>
    <w:rsid w:val="193474DC"/>
    <w:rsid w:val="19377C8F"/>
    <w:rsid w:val="199E386A"/>
    <w:rsid w:val="19B80B93"/>
    <w:rsid w:val="19C90E57"/>
    <w:rsid w:val="1A5D1977"/>
    <w:rsid w:val="1AF261BE"/>
    <w:rsid w:val="1BCD48DA"/>
    <w:rsid w:val="1C0A51E7"/>
    <w:rsid w:val="1C715266"/>
    <w:rsid w:val="1D385D84"/>
    <w:rsid w:val="1D5C4168"/>
    <w:rsid w:val="1DE12B25"/>
    <w:rsid w:val="1DF60118"/>
    <w:rsid w:val="1EAF7D54"/>
    <w:rsid w:val="1ED146E2"/>
    <w:rsid w:val="1F05008C"/>
    <w:rsid w:val="20B4194E"/>
    <w:rsid w:val="21393401"/>
    <w:rsid w:val="21B439BB"/>
    <w:rsid w:val="22482F0D"/>
    <w:rsid w:val="23E629DD"/>
    <w:rsid w:val="24084702"/>
    <w:rsid w:val="2570160E"/>
    <w:rsid w:val="25B508B9"/>
    <w:rsid w:val="25BB1180"/>
    <w:rsid w:val="25DA3E7C"/>
    <w:rsid w:val="25F204E8"/>
    <w:rsid w:val="26B80661"/>
    <w:rsid w:val="26D73440"/>
    <w:rsid w:val="27441A9D"/>
    <w:rsid w:val="274C2B57"/>
    <w:rsid w:val="27592132"/>
    <w:rsid w:val="279F35CF"/>
    <w:rsid w:val="28B210E0"/>
    <w:rsid w:val="2A6B1546"/>
    <w:rsid w:val="2B6C7C6C"/>
    <w:rsid w:val="2C667A56"/>
    <w:rsid w:val="2C8B0824"/>
    <w:rsid w:val="2CA60F5C"/>
    <w:rsid w:val="2DB40158"/>
    <w:rsid w:val="2DE24215"/>
    <w:rsid w:val="2E6425D7"/>
    <w:rsid w:val="2EA17C2D"/>
    <w:rsid w:val="2FFD2250"/>
    <w:rsid w:val="303F594F"/>
    <w:rsid w:val="30B067B7"/>
    <w:rsid w:val="32B819E9"/>
    <w:rsid w:val="32BF2D77"/>
    <w:rsid w:val="333A0650"/>
    <w:rsid w:val="33541711"/>
    <w:rsid w:val="33E41108"/>
    <w:rsid w:val="33FD3B57"/>
    <w:rsid w:val="348C3B96"/>
    <w:rsid w:val="34F678C3"/>
    <w:rsid w:val="355043B4"/>
    <w:rsid w:val="36107446"/>
    <w:rsid w:val="361F7B17"/>
    <w:rsid w:val="36AC53C0"/>
    <w:rsid w:val="371371EE"/>
    <w:rsid w:val="375EA71F"/>
    <w:rsid w:val="376D0FF4"/>
    <w:rsid w:val="379613C4"/>
    <w:rsid w:val="37D03331"/>
    <w:rsid w:val="37F7EE14"/>
    <w:rsid w:val="38390ED6"/>
    <w:rsid w:val="390E5EBF"/>
    <w:rsid w:val="390F7E89"/>
    <w:rsid w:val="398D772B"/>
    <w:rsid w:val="39A07F2A"/>
    <w:rsid w:val="3A960861"/>
    <w:rsid w:val="3A9610E1"/>
    <w:rsid w:val="3AA25598"/>
    <w:rsid w:val="3AB02FA5"/>
    <w:rsid w:val="3B04743C"/>
    <w:rsid w:val="3B2F65C0"/>
    <w:rsid w:val="3C3F394C"/>
    <w:rsid w:val="3CA96071"/>
    <w:rsid w:val="3CE62CF6"/>
    <w:rsid w:val="3CFA72E6"/>
    <w:rsid w:val="3D2A703F"/>
    <w:rsid w:val="3D2E2FD3"/>
    <w:rsid w:val="3DB54BFA"/>
    <w:rsid w:val="3F6FDF22"/>
    <w:rsid w:val="3FEFD0F5"/>
    <w:rsid w:val="40F95836"/>
    <w:rsid w:val="41861AF3"/>
    <w:rsid w:val="4268020C"/>
    <w:rsid w:val="429531AD"/>
    <w:rsid w:val="430C2999"/>
    <w:rsid w:val="438F40A0"/>
    <w:rsid w:val="43E1775F"/>
    <w:rsid w:val="43E73EDC"/>
    <w:rsid w:val="44004F9E"/>
    <w:rsid w:val="440A74EC"/>
    <w:rsid w:val="459C4852"/>
    <w:rsid w:val="46CB1893"/>
    <w:rsid w:val="47040901"/>
    <w:rsid w:val="47607F80"/>
    <w:rsid w:val="48345216"/>
    <w:rsid w:val="483B2A48"/>
    <w:rsid w:val="49635291"/>
    <w:rsid w:val="496B2DEF"/>
    <w:rsid w:val="499F0DB5"/>
    <w:rsid w:val="49B900C8"/>
    <w:rsid w:val="4A5D1658"/>
    <w:rsid w:val="4AD94BA5"/>
    <w:rsid w:val="4BB80EE0"/>
    <w:rsid w:val="4BEFE3AF"/>
    <w:rsid w:val="4C0833E5"/>
    <w:rsid w:val="4C4A581D"/>
    <w:rsid w:val="4E8011B5"/>
    <w:rsid w:val="4EA34EA3"/>
    <w:rsid w:val="4EE51018"/>
    <w:rsid w:val="4FFF679D"/>
    <w:rsid w:val="503B1837"/>
    <w:rsid w:val="50827466"/>
    <w:rsid w:val="51383FC9"/>
    <w:rsid w:val="52302EF2"/>
    <w:rsid w:val="523D116B"/>
    <w:rsid w:val="524F8683"/>
    <w:rsid w:val="535D155C"/>
    <w:rsid w:val="53DA2CAE"/>
    <w:rsid w:val="541F5621"/>
    <w:rsid w:val="546C262A"/>
    <w:rsid w:val="54772881"/>
    <w:rsid w:val="5520724E"/>
    <w:rsid w:val="561771EB"/>
    <w:rsid w:val="561F2DBF"/>
    <w:rsid w:val="56E6778E"/>
    <w:rsid w:val="58260F8E"/>
    <w:rsid w:val="582708F3"/>
    <w:rsid w:val="58913FBE"/>
    <w:rsid w:val="58B438A6"/>
    <w:rsid w:val="58CA7BFC"/>
    <w:rsid w:val="596A4F3B"/>
    <w:rsid w:val="597E4543"/>
    <w:rsid w:val="59883613"/>
    <w:rsid w:val="5B845120"/>
    <w:rsid w:val="5BD99943"/>
    <w:rsid w:val="5CA95D7B"/>
    <w:rsid w:val="5D7A7717"/>
    <w:rsid w:val="5E8048B9"/>
    <w:rsid w:val="5EC590ED"/>
    <w:rsid w:val="5F0E2E1C"/>
    <w:rsid w:val="5F6970C6"/>
    <w:rsid w:val="5FD7E7DB"/>
    <w:rsid w:val="5FF7DFDE"/>
    <w:rsid w:val="608508AD"/>
    <w:rsid w:val="60E02F3A"/>
    <w:rsid w:val="614B5652"/>
    <w:rsid w:val="615564D1"/>
    <w:rsid w:val="62015D11"/>
    <w:rsid w:val="62714C71"/>
    <w:rsid w:val="62DD1663"/>
    <w:rsid w:val="63520F1A"/>
    <w:rsid w:val="637974B6"/>
    <w:rsid w:val="63CB2FFE"/>
    <w:rsid w:val="64836EB1"/>
    <w:rsid w:val="652837E8"/>
    <w:rsid w:val="656942F9"/>
    <w:rsid w:val="6595017A"/>
    <w:rsid w:val="66E04A8F"/>
    <w:rsid w:val="67513204"/>
    <w:rsid w:val="68ED3493"/>
    <w:rsid w:val="696279DD"/>
    <w:rsid w:val="699456BD"/>
    <w:rsid w:val="69F12B0F"/>
    <w:rsid w:val="6ADB2EB6"/>
    <w:rsid w:val="6B036F9E"/>
    <w:rsid w:val="6B4FC80B"/>
    <w:rsid w:val="6B8B29AC"/>
    <w:rsid w:val="6C24541E"/>
    <w:rsid w:val="6C2A49C0"/>
    <w:rsid w:val="6C2C42D2"/>
    <w:rsid w:val="6C861C34"/>
    <w:rsid w:val="6EA12D56"/>
    <w:rsid w:val="6F1DF509"/>
    <w:rsid w:val="6F7F103E"/>
    <w:rsid w:val="6FD809F9"/>
    <w:rsid w:val="6FFF43C5"/>
    <w:rsid w:val="702C5B1F"/>
    <w:rsid w:val="70AB3A18"/>
    <w:rsid w:val="71306613"/>
    <w:rsid w:val="71682B5F"/>
    <w:rsid w:val="71A1306D"/>
    <w:rsid w:val="71FF1FDB"/>
    <w:rsid w:val="72203F91"/>
    <w:rsid w:val="72514A93"/>
    <w:rsid w:val="72B55021"/>
    <w:rsid w:val="72E256EB"/>
    <w:rsid w:val="72EF3CD5"/>
    <w:rsid w:val="72F43D90"/>
    <w:rsid w:val="73D239B1"/>
    <w:rsid w:val="745F3497"/>
    <w:rsid w:val="74E4399C"/>
    <w:rsid w:val="74E76FE8"/>
    <w:rsid w:val="75D43A11"/>
    <w:rsid w:val="76283D5C"/>
    <w:rsid w:val="763D7808"/>
    <w:rsid w:val="76760624"/>
    <w:rsid w:val="7687606F"/>
    <w:rsid w:val="76B21F8E"/>
    <w:rsid w:val="76BBC30D"/>
    <w:rsid w:val="76E45ED5"/>
    <w:rsid w:val="775D5C3A"/>
    <w:rsid w:val="77FB271F"/>
    <w:rsid w:val="78DB50B6"/>
    <w:rsid w:val="79020895"/>
    <w:rsid w:val="790B11D6"/>
    <w:rsid w:val="79555700"/>
    <w:rsid w:val="7AEFC951"/>
    <w:rsid w:val="7B0479EE"/>
    <w:rsid w:val="7BAE260E"/>
    <w:rsid w:val="7BDE0F0D"/>
    <w:rsid w:val="7BEB68AF"/>
    <w:rsid w:val="7C7D1E5F"/>
    <w:rsid w:val="7CB262EF"/>
    <w:rsid w:val="7CB77BE8"/>
    <w:rsid w:val="7DE5D713"/>
    <w:rsid w:val="7DE93DD1"/>
    <w:rsid w:val="7DF76239"/>
    <w:rsid w:val="7DFBDAA9"/>
    <w:rsid w:val="7DFFFF82"/>
    <w:rsid w:val="7E9F30F6"/>
    <w:rsid w:val="7EBF971D"/>
    <w:rsid w:val="7EBFA393"/>
    <w:rsid w:val="7EE02752"/>
    <w:rsid w:val="7F17FCC6"/>
    <w:rsid w:val="7F4A4D43"/>
    <w:rsid w:val="7F72736E"/>
    <w:rsid w:val="7F923FF5"/>
    <w:rsid w:val="7F9B10FB"/>
    <w:rsid w:val="7FBDA70B"/>
    <w:rsid w:val="7FC5261C"/>
    <w:rsid w:val="7FEF0BAD"/>
    <w:rsid w:val="7FF7FBE3"/>
    <w:rsid w:val="9D9A2176"/>
    <w:rsid w:val="9D9EA6FF"/>
    <w:rsid w:val="9F7C7C54"/>
    <w:rsid w:val="B6EC2ED4"/>
    <w:rsid w:val="BB7D6D88"/>
    <w:rsid w:val="BD37819F"/>
    <w:rsid w:val="BEEE90D2"/>
    <w:rsid w:val="BFB6CBDF"/>
    <w:rsid w:val="CFAF831F"/>
    <w:rsid w:val="CFEF42BF"/>
    <w:rsid w:val="D7EB4C08"/>
    <w:rsid w:val="DDDF24E7"/>
    <w:rsid w:val="DFFD9F0B"/>
    <w:rsid w:val="E7A9A36A"/>
    <w:rsid w:val="E8FFC561"/>
    <w:rsid w:val="EEDE2510"/>
    <w:rsid w:val="EFFF7C3F"/>
    <w:rsid w:val="F1DD40B0"/>
    <w:rsid w:val="F6769DBC"/>
    <w:rsid w:val="F7FD8850"/>
    <w:rsid w:val="F7FFA331"/>
    <w:rsid w:val="FA87C386"/>
    <w:rsid w:val="FCFE337B"/>
    <w:rsid w:val="FD6F6FE1"/>
    <w:rsid w:val="FDD73D0A"/>
    <w:rsid w:val="FDFD7220"/>
    <w:rsid w:val="FF77052D"/>
    <w:rsid w:val="FF7C44ED"/>
    <w:rsid w:val="FF7DDE6F"/>
    <w:rsid w:val="FF91C116"/>
    <w:rsid w:val="FFDF3A1D"/>
    <w:rsid w:val="FFFF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2576</Words>
  <Characters>2604</Characters>
  <Lines>0</Lines>
  <Paragraphs>0</Paragraphs>
  <TotalTime>59</TotalTime>
  <ScaleCrop>false</ScaleCrop>
  <LinksUpToDate>false</LinksUpToDate>
  <CharactersWithSpaces>2710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2021-12-20T22:06:00Z</dcterms:created>
  <dc:creator>JKL</dc:creator>
  <cp:lastModifiedBy>NTKO</cp:lastModifiedBy>
  <cp:lastPrinted>2022-05-07T01:09:00Z</cp:lastPrinted>
  <dcterms:modified xsi:type="dcterms:W3CDTF">2022-11-10T06:52:22Z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6AB3CF12E5304B5EA6F16FEC63A72B22</vt:lpwstr>
  </property>
</Properties>
</file>