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36"/>
          <w:szCs w:val="36"/>
        </w:rPr>
      </w:pPr>
      <w:bookmarkStart w:id="2" w:name="_GoBack"/>
      <w:bookmarkEnd w:id="2"/>
      <w:r>
        <w:rPr>
          <w:rFonts w:hint="eastAsia" w:ascii="宋体" w:hAnsi="宋体"/>
          <w:b/>
          <w:bCs/>
          <w:color w:val="000000"/>
          <w:kern w:val="44"/>
          <w:sz w:val="36"/>
          <w:szCs w:val="36"/>
        </w:rPr>
        <w:t>深圳市垃圾分类蒲公英教师培养方案</w:t>
      </w:r>
    </w:p>
    <w:p>
      <w:pPr>
        <w:pStyle w:val="16"/>
        <w:spacing w:line="360" w:lineRule="auto"/>
        <w:rPr>
          <w:rFonts w:ascii="宋体" w:hAnsi="宋体" w:eastAsia="宋体"/>
          <w:sz w:val="32"/>
          <w:szCs w:val="32"/>
        </w:rPr>
      </w:pPr>
      <w:r>
        <w:rPr>
          <w:rFonts w:hint="eastAsia" w:ascii="宋体" w:hAnsi="宋体" w:eastAsia="宋体"/>
          <w:sz w:val="32"/>
          <w:szCs w:val="32"/>
        </w:rPr>
        <w:t>蒲公英教师（中级）</w:t>
      </w:r>
    </w:p>
    <w:p>
      <w:pPr>
        <w:jc w:val="center"/>
      </w:pPr>
    </w:p>
    <w:p>
      <w:pPr>
        <w:pStyle w:val="2"/>
        <w:spacing w:before="120" w:after="120" w:line="360" w:lineRule="exact"/>
        <w:ind w:left="867" w:hanging="867" w:hangingChars="270"/>
        <w:rPr>
          <w:rFonts w:ascii="黑体" w:hAnsi="黑体"/>
          <w:color w:val="000000"/>
        </w:rPr>
      </w:pPr>
      <w:r>
        <w:rPr>
          <w:rFonts w:ascii="黑体" w:hAnsi="黑体"/>
          <w:color w:val="000000"/>
        </w:rPr>
        <w:t>一、培养目标</w:t>
      </w:r>
    </w:p>
    <w:p>
      <w:pPr>
        <w:ind w:firstLine="640" w:firstLineChars="200"/>
        <w:rPr>
          <w:rFonts w:ascii="仿宋" w:hAnsi="仿宋" w:eastAsia="仿宋"/>
          <w:sz w:val="32"/>
          <w:szCs w:val="32"/>
        </w:rPr>
      </w:pPr>
      <w:r>
        <w:rPr>
          <w:rFonts w:hint="eastAsia" w:ascii="仿宋" w:hAnsi="仿宋" w:eastAsia="仿宋"/>
          <w:sz w:val="32"/>
          <w:szCs w:val="32"/>
        </w:rPr>
        <w:t>深圳市生活垃圾分类蒲公英初级教师的培养目标为培养具有相当专业性，在学校积极创新，积极参与本校垃圾分类教育创新开发，打造有影响力垃圾分类模式的在职老师。</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ascii="黑体" w:hAnsi="黑体"/>
          <w:color w:val="000000"/>
        </w:rPr>
        <w:t>二、基本要求</w:t>
      </w:r>
    </w:p>
    <w:p>
      <w:pPr>
        <w:ind w:firstLine="640" w:firstLineChars="200"/>
        <w:rPr>
          <w:rFonts w:ascii="仿宋" w:hAnsi="仿宋" w:eastAsia="仿宋"/>
          <w:sz w:val="32"/>
          <w:szCs w:val="32"/>
        </w:rPr>
      </w:pPr>
      <w:r>
        <w:rPr>
          <w:rFonts w:hint="eastAsia" w:ascii="仿宋" w:hAnsi="仿宋" w:eastAsia="仿宋"/>
          <w:sz w:val="32"/>
          <w:szCs w:val="32"/>
        </w:rPr>
        <w:t>深圳市生活垃圾分类蒲公英中级教师培养对象为满足蒲公英教师基本条件并获聘“深圳市垃圾分类蒲公英初级教师”的教师。</w:t>
      </w:r>
    </w:p>
    <w:p>
      <w:pPr>
        <w:ind w:firstLine="640" w:firstLineChars="200"/>
        <w:rPr>
          <w:rFonts w:ascii="仿宋" w:hAnsi="仿宋" w:eastAsia="仿宋"/>
          <w:sz w:val="32"/>
          <w:szCs w:val="32"/>
        </w:rPr>
      </w:pPr>
      <w:r>
        <w:rPr>
          <w:rFonts w:hint="eastAsia" w:ascii="仿宋" w:hAnsi="仿宋" w:eastAsia="仿宋"/>
          <w:sz w:val="32"/>
          <w:szCs w:val="32"/>
        </w:rPr>
        <w:t>蒲公英教师（中级）的培养，依据全市统一的垃圾分类蒲公英教师培养机制，按照统一的报考标准、课程体系标准、考核标准进行培养，并通过评审专家团的综合考核。</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ascii="黑体" w:hAnsi="黑体"/>
          <w:color w:val="000000"/>
        </w:rPr>
        <w:t>三、</w:t>
      </w:r>
      <w:r>
        <w:rPr>
          <w:rFonts w:hint="eastAsia" w:ascii="黑体" w:hAnsi="黑体"/>
          <w:color w:val="000000"/>
        </w:rPr>
        <w:t>证书类别</w:t>
      </w:r>
    </w:p>
    <w:p>
      <w:pPr>
        <w:ind w:firstLine="640" w:firstLineChars="200"/>
        <w:rPr>
          <w:rFonts w:ascii="仿宋" w:hAnsi="仿宋" w:eastAsia="仿宋"/>
          <w:sz w:val="32"/>
          <w:szCs w:val="32"/>
        </w:rPr>
      </w:pPr>
      <w:r>
        <w:rPr>
          <w:rFonts w:hint="eastAsia" w:ascii="仿宋" w:hAnsi="仿宋" w:eastAsia="仿宋"/>
          <w:sz w:val="32"/>
          <w:szCs w:val="32"/>
        </w:rPr>
        <w:t>“深圳市垃圾分类蒲公英中级教师”资格证书。</w:t>
      </w:r>
    </w:p>
    <w:p>
      <w:pPr>
        <w:ind w:firstLine="640" w:firstLineChars="200"/>
        <w:rPr>
          <w:rFonts w:ascii="仿宋" w:hAnsi="仿宋" w:eastAsia="仿宋"/>
          <w:sz w:val="32"/>
          <w:szCs w:val="32"/>
        </w:rPr>
      </w:pPr>
      <w:r>
        <w:rPr>
          <w:rFonts w:hint="eastAsia" w:ascii="仿宋" w:hAnsi="仿宋" w:eastAsia="仿宋"/>
          <w:sz w:val="32"/>
          <w:szCs w:val="32"/>
        </w:rPr>
        <w:t>参与市级培训的蒲公英中级教师学员经由评审专家团成员组成的考核评审团考核评审通过，颁发“深圳市垃圾分类蒲公英中级教师”资格证书。</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ascii="黑体" w:hAnsi="黑体"/>
          <w:color w:val="000000"/>
        </w:rPr>
        <w:t>四、培养方式</w:t>
      </w:r>
    </w:p>
    <w:p>
      <w:pPr>
        <w:ind w:firstLine="640" w:firstLineChars="200"/>
        <w:rPr>
          <w:rFonts w:ascii="仿宋" w:hAnsi="仿宋" w:eastAsia="仿宋"/>
          <w:sz w:val="32"/>
          <w:szCs w:val="32"/>
        </w:rPr>
      </w:pPr>
      <w:r>
        <w:rPr>
          <w:rFonts w:ascii="仿宋" w:hAnsi="仿宋" w:eastAsia="仿宋"/>
          <w:sz w:val="32"/>
          <w:szCs w:val="32"/>
        </w:rPr>
        <w:t>培养方式包括课堂讲授、专业实践</w:t>
      </w:r>
      <w:r>
        <w:rPr>
          <w:rFonts w:hint="eastAsia" w:ascii="仿宋" w:hAnsi="仿宋" w:eastAsia="仿宋"/>
          <w:sz w:val="32"/>
          <w:szCs w:val="32"/>
        </w:rPr>
        <w:t>活动</w:t>
      </w:r>
      <w:r>
        <w:rPr>
          <w:rFonts w:ascii="仿宋" w:hAnsi="仿宋" w:eastAsia="仿宋"/>
          <w:sz w:val="32"/>
          <w:szCs w:val="32"/>
        </w:rPr>
        <w:t>等。</w:t>
      </w:r>
    </w:p>
    <w:p>
      <w:pPr>
        <w:spacing w:line="400" w:lineRule="exact"/>
        <w:ind w:firstLine="420" w:firstLineChars="200"/>
        <w:rPr>
          <w:color w:val="000000"/>
        </w:rPr>
      </w:pPr>
    </w:p>
    <w:p>
      <w:pPr>
        <w:pStyle w:val="2"/>
        <w:spacing w:before="120" w:after="120" w:line="360" w:lineRule="exact"/>
        <w:ind w:left="867" w:hanging="867" w:hangingChars="270"/>
        <w:rPr>
          <w:rFonts w:ascii="黑体" w:hAnsi="黑体"/>
          <w:color w:val="000000"/>
        </w:rPr>
      </w:pPr>
      <w:r>
        <w:rPr>
          <w:rFonts w:ascii="黑体" w:hAnsi="黑体"/>
          <w:color w:val="000000"/>
        </w:rPr>
        <w:t>五、修业年限</w:t>
      </w:r>
    </w:p>
    <w:p>
      <w:pPr>
        <w:ind w:firstLine="640" w:firstLineChars="200"/>
        <w:rPr>
          <w:rFonts w:ascii="仿宋" w:hAnsi="仿宋" w:eastAsia="仿宋"/>
          <w:sz w:val="32"/>
          <w:szCs w:val="32"/>
        </w:rPr>
      </w:pPr>
      <w:r>
        <w:rPr>
          <w:rFonts w:hint="eastAsia" w:ascii="仿宋" w:hAnsi="仿宋" w:eastAsia="仿宋"/>
          <w:sz w:val="32"/>
          <w:szCs w:val="32"/>
        </w:rPr>
        <w:t>半年内完成。</w:t>
      </w:r>
    </w:p>
    <w:p>
      <w:pPr>
        <w:spacing w:line="400" w:lineRule="exact"/>
        <w:ind w:firstLine="420" w:firstLineChars="200"/>
      </w:pPr>
    </w:p>
    <w:p>
      <w:pPr>
        <w:pStyle w:val="2"/>
        <w:spacing w:before="120" w:after="120" w:line="360" w:lineRule="exact"/>
        <w:ind w:left="867" w:hanging="867" w:hangingChars="270"/>
        <w:rPr>
          <w:rFonts w:ascii="黑体" w:hAnsi="黑体"/>
          <w:color w:val="000000"/>
        </w:rPr>
      </w:pPr>
      <w:r>
        <w:rPr>
          <w:rFonts w:ascii="黑体" w:hAnsi="黑体"/>
          <w:color w:val="000000"/>
        </w:rPr>
        <w:t>六、学分要求</w:t>
      </w:r>
    </w:p>
    <w:p>
      <w:pPr>
        <w:ind w:firstLine="640" w:firstLineChars="200"/>
        <w:rPr>
          <w:rFonts w:ascii="仿宋" w:hAnsi="仿宋" w:eastAsia="仿宋"/>
          <w:sz w:val="32"/>
          <w:szCs w:val="32"/>
        </w:rPr>
      </w:pPr>
      <w:r>
        <w:rPr>
          <w:rFonts w:hint="eastAsia" w:ascii="仿宋" w:hAnsi="仿宋" w:eastAsia="仿宋"/>
          <w:sz w:val="32"/>
          <w:szCs w:val="32"/>
        </w:rPr>
        <w:t>参加“深圳市垃圾分类蒲公英中级教师”培训的学员</w:t>
      </w:r>
      <w:r>
        <w:rPr>
          <w:rFonts w:ascii="仿宋" w:hAnsi="仿宋" w:eastAsia="仿宋"/>
          <w:sz w:val="32"/>
          <w:szCs w:val="32"/>
        </w:rPr>
        <w:t>，需获得学分不少于80学分</w:t>
      </w:r>
      <w:r>
        <w:rPr>
          <w:rFonts w:hint="eastAsia" w:ascii="仿宋" w:hAnsi="仿宋" w:eastAsia="仿宋"/>
          <w:sz w:val="32"/>
          <w:szCs w:val="32"/>
        </w:rPr>
        <w:t>，其中实践课程学分不少于6</w:t>
      </w:r>
      <w:r>
        <w:rPr>
          <w:rFonts w:ascii="仿宋" w:hAnsi="仿宋" w:eastAsia="仿宋"/>
          <w:sz w:val="32"/>
          <w:szCs w:val="32"/>
        </w:rPr>
        <w:t>0</w:t>
      </w:r>
      <w:r>
        <w:rPr>
          <w:rFonts w:hint="eastAsia" w:ascii="仿宋" w:hAnsi="仿宋" w:eastAsia="仿宋"/>
          <w:sz w:val="32"/>
          <w:szCs w:val="32"/>
        </w:rPr>
        <w:t>学分</w:t>
      </w:r>
      <w:r>
        <w:rPr>
          <w:rFonts w:ascii="仿宋" w:hAnsi="仿宋" w:eastAsia="仿宋"/>
          <w:sz w:val="32"/>
          <w:szCs w:val="32"/>
        </w:rPr>
        <w:t>。具体</w:t>
      </w:r>
      <w:r>
        <w:rPr>
          <w:rFonts w:hint="eastAsia" w:ascii="仿宋" w:hAnsi="仿宋" w:eastAsia="仿宋"/>
          <w:sz w:val="32"/>
          <w:szCs w:val="32"/>
        </w:rPr>
        <w:t>要求</w:t>
      </w:r>
      <w:r>
        <w:rPr>
          <w:rFonts w:ascii="仿宋" w:hAnsi="仿宋" w:eastAsia="仿宋"/>
          <w:sz w:val="32"/>
          <w:szCs w:val="32"/>
        </w:rPr>
        <w:t>如下：</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.基础课程学分</w:t>
      </w:r>
      <w:r>
        <w:rPr>
          <w:rFonts w:ascii="仿宋" w:hAnsi="仿宋" w:eastAsia="仿宋"/>
          <w:sz w:val="32"/>
          <w:szCs w:val="32"/>
        </w:rPr>
        <w:t xml:space="preserve">            10学分</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 xml:space="preserve">.专业课程学分 </w:t>
      </w:r>
      <w:r>
        <w:rPr>
          <w:rFonts w:ascii="仿宋" w:hAnsi="仿宋" w:eastAsia="仿宋"/>
          <w:sz w:val="32"/>
          <w:szCs w:val="32"/>
        </w:rPr>
        <w:t xml:space="preserve">           不少于10学分</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实践课程</w:t>
      </w:r>
      <w:r>
        <w:rPr>
          <w:rFonts w:ascii="仿宋" w:hAnsi="仿宋" w:eastAsia="仿宋"/>
          <w:sz w:val="32"/>
          <w:szCs w:val="32"/>
        </w:rPr>
        <w:t>学分            不少于60学分</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ascii="黑体" w:hAnsi="黑体"/>
          <w:color w:val="000000"/>
        </w:rPr>
        <w:t>七、课程和环节设置</w:t>
      </w:r>
    </w:p>
    <w:p>
      <w:pPr>
        <w:spacing w:line="400" w:lineRule="exact"/>
        <w:outlineLvl w:val="1"/>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一</w:t>
      </w:r>
      <w:r>
        <w:rPr>
          <w:rFonts w:ascii="楷体" w:hAnsi="楷体" w:eastAsia="楷体"/>
          <w:bCs/>
          <w:sz w:val="32"/>
          <w:szCs w:val="32"/>
        </w:rPr>
        <w:t>）</w:t>
      </w:r>
      <w:r>
        <w:rPr>
          <w:rFonts w:hint="eastAsia" w:ascii="楷体" w:hAnsi="楷体" w:eastAsia="楷体"/>
          <w:bCs/>
          <w:sz w:val="32"/>
          <w:szCs w:val="32"/>
        </w:rPr>
        <w:t>基础</w:t>
      </w:r>
      <w:r>
        <w:rPr>
          <w:rFonts w:ascii="楷体" w:hAnsi="楷体" w:eastAsia="楷体"/>
          <w:bCs/>
          <w:sz w:val="32"/>
          <w:szCs w:val="32"/>
        </w:rPr>
        <w:t>课程（10学分）</w:t>
      </w:r>
    </w:p>
    <w:p>
      <w:pPr>
        <w:pStyle w:val="24"/>
        <w:numPr>
          <w:ilvl w:val="0"/>
          <w:numId w:val="1"/>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校园零废弃建设</w:t>
      </w:r>
      <w:r>
        <w:rPr>
          <w:rFonts w:ascii="仿宋" w:hAnsi="仿宋" w:eastAsia="仿宋" w:cs="Times New Roman"/>
        </w:rPr>
        <w:tab/>
      </w:r>
      <w:r>
        <w:rPr>
          <w:rFonts w:ascii="仿宋" w:hAnsi="仿宋" w:eastAsia="仿宋" w:cs="Times New Roman"/>
        </w:rPr>
        <w:t>(PB-S-001)</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1"/>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校园环保课程设计</w:t>
      </w:r>
      <w:r>
        <w:rPr>
          <w:rFonts w:ascii="仿宋" w:hAnsi="仿宋" w:eastAsia="仿宋" w:cs="Times New Roman"/>
        </w:rPr>
        <w:tab/>
      </w:r>
      <w:r>
        <w:rPr>
          <w:rFonts w:ascii="仿宋" w:hAnsi="仿宋" w:eastAsia="仿宋" w:cs="Times New Roman"/>
        </w:rPr>
        <w:t>(PB-S-002)</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
      <w:pPr>
        <w:spacing w:line="400" w:lineRule="exact"/>
        <w:outlineLvl w:val="1"/>
        <w:rPr>
          <w:rFonts w:ascii="楷体" w:hAnsi="楷体" w:eastAsia="楷体"/>
          <w:bCs/>
          <w:sz w:val="32"/>
          <w:szCs w:val="32"/>
        </w:rPr>
      </w:pPr>
      <w:r>
        <w:rPr>
          <w:rFonts w:hint="eastAsia" w:ascii="楷体" w:hAnsi="楷体" w:eastAsia="楷体"/>
          <w:bCs/>
          <w:sz w:val="32"/>
          <w:szCs w:val="32"/>
        </w:rPr>
        <w:t>（二）专业</w:t>
      </w:r>
      <w:r>
        <w:rPr>
          <w:rFonts w:ascii="楷体" w:hAnsi="楷体" w:eastAsia="楷体"/>
          <w:bCs/>
          <w:sz w:val="32"/>
          <w:szCs w:val="32"/>
        </w:rPr>
        <w:t>课程（≥10学分）</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垃圾分类政策解读</w:t>
      </w:r>
      <w:r>
        <w:rPr>
          <w:rFonts w:ascii="仿宋" w:hAnsi="仿宋" w:eastAsia="仿宋" w:cs="Times New Roman"/>
        </w:rPr>
        <w:tab/>
      </w:r>
      <w:r>
        <w:rPr>
          <w:rFonts w:ascii="仿宋" w:hAnsi="仿宋" w:eastAsia="仿宋" w:cs="Times New Roman"/>
        </w:rPr>
        <w:t>(PD-S-001)</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bookmarkStart w:id="0" w:name="_Hlk75617974"/>
      <w:r>
        <w:rPr>
          <w:rFonts w:hint="eastAsia" w:ascii="仿宋" w:hAnsi="仿宋" w:eastAsia="仿宋" w:cs="Times New Roman"/>
        </w:rPr>
        <w:t>垃圾分类处理体系</w:t>
      </w:r>
      <w:bookmarkEnd w:id="0"/>
      <w:r>
        <w:rPr>
          <w:rFonts w:ascii="仿宋" w:hAnsi="仿宋" w:eastAsia="仿宋" w:cs="Times New Roman"/>
          <w:b/>
          <w:bCs/>
        </w:rPr>
        <w:tab/>
      </w:r>
      <w:r>
        <w:rPr>
          <w:rFonts w:hint="eastAsia" w:ascii="仿宋" w:hAnsi="仿宋" w:eastAsia="仿宋" w:cs="Times New Roman"/>
        </w:rPr>
        <w:t>(</w:t>
      </w:r>
      <w:r>
        <w:rPr>
          <w:rFonts w:ascii="仿宋" w:hAnsi="仿宋" w:eastAsia="仿宋" w:cs="Times New Roman"/>
        </w:rPr>
        <w:t>PD-S-002)</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垃圾分类公众宣传</w:t>
      </w:r>
      <w:r>
        <w:rPr>
          <w:rFonts w:ascii="仿宋" w:hAnsi="仿宋" w:eastAsia="仿宋" w:cs="Times New Roman"/>
        </w:rPr>
        <w:tab/>
      </w:r>
      <w:r>
        <w:rPr>
          <w:rFonts w:ascii="仿宋" w:hAnsi="仿宋" w:eastAsia="仿宋" w:cs="Times New Roman"/>
        </w:rPr>
        <w:t>(PD-S-003)</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bookmarkStart w:id="1" w:name="_Hlk75618002"/>
      <w:r>
        <w:rPr>
          <w:rFonts w:hint="eastAsia" w:ascii="仿宋" w:hAnsi="仿宋" w:eastAsia="仿宋" w:cs="Times New Roman"/>
        </w:rPr>
        <w:t>垃圾分类社会监督</w:t>
      </w:r>
      <w:bookmarkEnd w:id="1"/>
      <w:r>
        <w:rPr>
          <w:rFonts w:ascii="仿宋" w:hAnsi="仿宋" w:eastAsia="仿宋" w:cs="Times New Roman"/>
        </w:rPr>
        <w:tab/>
      </w:r>
      <w:r>
        <w:rPr>
          <w:rFonts w:ascii="仿宋" w:hAnsi="仿宋" w:eastAsia="仿宋" w:cs="Times New Roman"/>
        </w:rPr>
        <w:t>(PD-S-004)</w:t>
      </w:r>
      <w:r>
        <w:rPr>
          <w:rFonts w:ascii="仿宋" w:hAnsi="仿宋" w:eastAsia="仿宋" w:cs="Times New Roman"/>
        </w:rPr>
        <w:tab/>
      </w:r>
      <w:r>
        <w:rPr>
          <w:rFonts w:ascii="仿宋" w:hAnsi="仿宋" w:eastAsia="仿宋" w:cs="Times New Roman"/>
        </w:rPr>
        <w:t>5学分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
      <w:pPr>
        <w:spacing w:line="400" w:lineRule="exact"/>
        <w:outlineLvl w:val="1"/>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三</w:t>
      </w:r>
      <w:r>
        <w:rPr>
          <w:rFonts w:ascii="楷体" w:hAnsi="楷体" w:eastAsia="楷体"/>
          <w:bCs/>
          <w:sz w:val="32"/>
          <w:szCs w:val="32"/>
        </w:rPr>
        <w:t>）</w:t>
      </w:r>
      <w:r>
        <w:rPr>
          <w:rFonts w:hint="eastAsia" w:ascii="楷体" w:hAnsi="楷体" w:eastAsia="楷体"/>
          <w:bCs/>
          <w:sz w:val="32"/>
          <w:szCs w:val="32"/>
        </w:rPr>
        <w:t>实践课程</w:t>
      </w:r>
      <w:r>
        <w:rPr>
          <w:rFonts w:ascii="楷体" w:hAnsi="楷体" w:eastAsia="楷体"/>
          <w:bCs/>
          <w:sz w:val="32"/>
          <w:szCs w:val="32"/>
        </w:rPr>
        <w:t>（≥60学分）</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小小蒲公英培养（</w:t>
      </w:r>
      <w:r>
        <w:rPr>
          <w:rFonts w:ascii="仿宋" w:hAnsi="仿宋" w:eastAsia="仿宋" w:cs="Times New Roman"/>
        </w:rPr>
        <w:t>2</w:t>
      </w:r>
      <w:r>
        <w:rPr>
          <w:rFonts w:hint="eastAsia" w:ascii="仿宋" w:hAnsi="仿宋" w:eastAsia="仿宋" w:cs="Times New Roman"/>
        </w:rPr>
        <w:t>）</w:t>
      </w:r>
      <w:r>
        <w:rPr>
          <w:rFonts w:ascii="仿宋" w:hAnsi="仿宋" w:eastAsia="仿宋" w:cs="Times New Roman"/>
        </w:rPr>
        <w:tab/>
      </w:r>
      <w:r>
        <w:rPr>
          <w:rFonts w:ascii="仿宋" w:hAnsi="仿宋" w:eastAsia="仿宋" w:cs="Times New Roman"/>
        </w:rPr>
        <w:t>(PA-S-001)</w:t>
      </w:r>
      <w:r>
        <w:rPr>
          <w:rFonts w:ascii="仿宋" w:hAnsi="仿宋" w:eastAsia="仿宋" w:cs="Times New Roman"/>
        </w:rPr>
        <w:tab/>
      </w:r>
      <w:r>
        <w:rPr>
          <w:rFonts w:ascii="仿宋" w:hAnsi="仿宋" w:eastAsia="仿宋" w:cs="Times New Roman"/>
        </w:rPr>
        <w:t>20学分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蒲公英校园建设</w:t>
      </w:r>
      <w:r>
        <w:rPr>
          <w:rFonts w:ascii="仿宋" w:hAnsi="仿宋" w:eastAsia="仿宋"/>
        </w:rPr>
        <w:tab/>
      </w:r>
      <w:r>
        <w:rPr>
          <w:rFonts w:ascii="仿宋" w:hAnsi="仿宋" w:eastAsia="仿宋" w:cs="Times New Roman"/>
        </w:rPr>
        <w:t>(PA-S-002)</w:t>
      </w:r>
      <w:r>
        <w:rPr>
          <w:rFonts w:ascii="仿宋" w:hAnsi="仿宋" w:eastAsia="仿宋" w:cs="Times New Roman"/>
        </w:rPr>
        <w:tab/>
      </w:r>
      <w:r>
        <w:rPr>
          <w:rFonts w:ascii="仿宋" w:hAnsi="仿宋" w:eastAsia="仿宋" w:cs="Times New Roman"/>
        </w:rPr>
        <w:t>20</w:t>
      </w:r>
      <w:r>
        <w:rPr>
          <w:rFonts w:hint="eastAsia" w:ascii="仿宋" w:hAnsi="仿宋" w:eastAsia="仿宋" w:cs="Times New Roman"/>
        </w:rPr>
        <w:t>学分</w:t>
      </w:r>
      <w:r>
        <w:rPr>
          <w:rFonts w:ascii="仿宋" w:hAnsi="仿宋" w:eastAsia="仿宋" w:cs="Times New Roman"/>
        </w:rPr>
        <w:tab/>
      </w:r>
      <w:r>
        <w:rPr>
          <w:rFonts w:hint="eastAsia" w:ascii="仿宋" w:hAnsi="仿宋" w:eastAsia="仿宋" w:cs="Times New Roman"/>
        </w:rPr>
        <w:t>（</w:t>
      </w:r>
      <w:r>
        <w:rPr>
          <w:rFonts w:hint="eastAsia" w:ascii="仿宋" w:hAnsi="仿宋" w:eastAsia="仿宋" w:cs="Times New Roman"/>
          <w:lang w:eastAsia="zh-CN"/>
        </w:rPr>
        <w:t>考察</w:t>
      </w:r>
      <w:r>
        <w:rPr>
          <w:rFonts w:hint="eastAsia"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垃圾分类课件开发</w:t>
      </w:r>
      <w:r>
        <w:rPr>
          <w:rFonts w:ascii="仿宋" w:hAnsi="仿宋" w:eastAsia="仿宋" w:cs="Times New Roman"/>
        </w:rPr>
        <w:tab/>
      </w:r>
      <w:r>
        <w:rPr>
          <w:rFonts w:ascii="仿宋" w:hAnsi="仿宋" w:eastAsia="仿宋" w:cs="Times New Roman"/>
        </w:rPr>
        <w:t>(PA-S-003)</w:t>
      </w:r>
      <w:r>
        <w:rPr>
          <w:rFonts w:ascii="仿宋" w:hAnsi="仿宋" w:eastAsia="仿宋" w:cs="Times New Roman"/>
        </w:rPr>
        <w:tab/>
      </w:r>
      <w:r>
        <w:rPr>
          <w:rFonts w:ascii="仿宋" w:hAnsi="仿宋" w:eastAsia="仿宋" w:cs="Times New Roman"/>
        </w:rPr>
        <w:t>20学分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垃圾分类专项调研</w:t>
      </w:r>
      <w:r>
        <w:rPr>
          <w:rFonts w:ascii="仿宋" w:hAnsi="仿宋" w:eastAsia="仿宋"/>
        </w:rPr>
        <w:tab/>
      </w:r>
      <w:r>
        <w:rPr>
          <w:rFonts w:ascii="仿宋" w:hAnsi="仿宋" w:eastAsia="仿宋" w:cs="Times New Roman"/>
        </w:rPr>
        <w:t>(PA-S-004)</w:t>
      </w:r>
      <w:r>
        <w:rPr>
          <w:rFonts w:ascii="仿宋" w:hAnsi="仿宋" w:eastAsia="仿宋" w:cs="Times New Roman"/>
        </w:rPr>
        <w:tab/>
      </w:r>
      <w:r>
        <w:rPr>
          <w:rFonts w:ascii="仿宋" w:hAnsi="仿宋" w:eastAsia="仿宋" w:cs="Times New Roman"/>
        </w:rPr>
        <w:t>20</w:t>
      </w:r>
      <w:r>
        <w:rPr>
          <w:rFonts w:hint="eastAsia" w:ascii="仿宋" w:hAnsi="仿宋" w:eastAsia="仿宋" w:cs="Times New Roman"/>
        </w:rPr>
        <w:t>学分</w:t>
      </w:r>
      <w:r>
        <w:rPr>
          <w:rFonts w:ascii="仿宋" w:hAnsi="仿宋" w:eastAsia="仿宋" w:cs="Times New Roman"/>
        </w:rPr>
        <w:tab/>
      </w:r>
      <w:r>
        <w:rPr>
          <w:rFonts w:hint="eastAsia" w:ascii="仿宋" w:hAnsi="仿宋" w:eastAsia="仿宋" w:cs="Times New Roman"/>
        </w:rPr>
        <w:t>（</w:t>
      </w:r>
      <w:r>
        <w:rPr>
          <w:rFonts w:hint="eastAsia" w:ascii="仿宋" w:hAnsi="仿宋" w:eastAsia="仿宋" w:cs="Times New Roman"/>
          <w:lang w:eastAsia="zh-CN"/>
        </w:rPr>
        <w:t>考察</w:t>
      </w:r>
      <w:r>
        <w:rPr>
          <w:rFonts w:hint="eastAsia"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校园垃圾堆肥</w:t>
      </w:r>
      <w:r>
        <w:rPr>
          <w:rFonts w:ascii="仿宋" w:hAnsi="仿宋" w:eastAsia="仿宋" w:cs="Times New Roman"/>
        </w:rPr>
        <w:tab/>
      </w:r>
      <w:r>
        <w:rPr>
          <w:rFonts w:ascii="仿宋" w:hAnsi="仿宋" w:eastAsia="仿宋" w:cs="Times New Roman"/>
        </w:rPr>
        <w:t>(PA-S-005)</w:t>
      </w:r>
      <w:r>
        <w:rPr>
          <w:rFonts w:ascii="仿宋" w:hAnsi="仿宋" w:eastAsia="仿宋" w:cs="Times New Roman"/>
        </w:rPr>
        <w:tab/>
      </w:r>
      <w:r>
        <w:rPr>
          <w:rFonts w:ascii="仿宋" w:hAnsi="仿宋" w:eastAsia="仿宋" w:cs="Times New Roman"/>
        </w:rPr>
        <w:t>20学分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校园垃圾分类微课堂（2）</w:t>
      </w:r>
      <w:r>
        <w:rPr>
          <w:rFonts w:ascii="仿宋" w:hAnsi="仿宋" w:eastAsia="仿宋" w:cs="Times New Roman"/>
        </w:rPr>
        <w:tab/>
      </w:r>
      <w:r>
        <w:rPr>
          <w:rFonts w:ascii="仿宋" w:hAnsi="仿宋" w:eastAsia="仿宋" w:cs="Times New Roman"/>
        </w:rPr>
        <w:t>(PA-S-006)</w:t>
      </w:r>
      <w:r>
        <w:rPr>
          <w:rFonts w:ascii="仿宋" w:hAnsi="仿宋" w:eastAsia="仿宋" w:cs="Times New Roman"/>
        </w:rPr>
        <w:tab/>
      </w:r>
      <w:r>
        <w:rPr>
          <w:rFonts w:ascii="仿宋" w:hAnsi="仿宋" w:eastAsia="仿宋" w:cs="Times New Roman"/>
        </w:rPr>
        <w:t>10学分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numPr>
          <w:ilvl w:val="0"/>
          <w:numId w:val="2"/>
        </w:numPr>
        <w:tabs>
          <w:tab w:val="left" w:pos="4878"/>
          <w:tab w:val="left" w:pos="6336"/>
          <w:tab w:val="left" w:pos="7313"/>
        </w:tabs>
        <w:spacing w:line="400" w:lineRule="exact"/>
        <w:ind w:firstLineChars="0"/>
        <w:rPr>
          <w:rFonts w:ascii="仿宋" w:hAnsi="仿宋" w:eastAsia="仿宋" w:cs="Times New Roman"/>
        </w:rPr>
      </w:pPr>
      <w:r>
        <w:rPr>
          <w:rFonts w:hint="eastAsia" w:ascii="仿宋" w:hAnsi="仿宋" w:eastAsia="仿宋" w:cs="Times New Roman"/>
        </w:rPr>
        <w:t>家校社变废为宝（2）</w:t>
      </w:r>
      <w:r>
        <w:rPr>
          <w:rFonts w:ascii="仿宋" w:hAnsi="仿宋" w:eastAsia="仿宋" w:cs="Times New Roman"/>
        </w:rPr>
        <w:tab/>
      </w:r>
      <w:r>
        <w:rPr>
          <w:rFonts w:ascii="仿宋" w:hAnsi="仿宋" w:eastAsia="仿宋" w:cs="Times New Roman"/>
        </w:rPr>
        <w:t>(PA-S-007)</w:t>
      </w:r>
      <w:r>
        <w:rPr>
          <w:rFonts w:ascii="仿宋" w:hAnsi="仿宋" w:eastAsia="仿宋" w:cs="Times New Roman"/>
        </w:rPr>
        <w:tab/>
      </w:r>
      <w:r>
        <w:rPr>
          <w:rFonts w:ascii="仿宋" w:hAnsi="仿宋" w:eastAsia="仿宋" w:cs="Times New Roman"/>
        </w:rPr>
        <w:t>10学分</w:t>
      </w:r>
      <w:r>
        <w:rPr>
          <w:rFonts w:ascii="仿宋" w:hAnsi="仿宋" w:eastAsia="仿宋" w:cs="Times New Roman"/>
        </w:rPr>
        <w:tab/>
      </w:r>
      <w:r>
        <w:rPr>
          <w:rFonts w:ascii="仿宋" w:hAnsi="仿宋" w:eastAsia="仿宋" w:cs="Times New Roman"/>
        </w:rPr>
        <w:t>（</w:t>
      </w:r>
      <w:r>
        <w:rPr>
          <w:rFonts w:hint="eastAsia" w:ascii="仿宋" w:hAnsi="仿宋" w:eastAsia="仿宋" w:cs="Times New Roman"/>
          <w:lang w:eastAsia="zh-CN"/>
        </w:rPr>
        <w:t>考察</w:t>
      </w:r>
      <w:r>
        <w:rPr>
          <w:rFonts w:ascii="仿宋" w:hAnsi="仿宋" w:eastAsia="仿宋" w:cs="Times New Roman"/>
        </w:rPr>
        <w:t>）</w:t>
      </w:r>
    </w:p>
    <w:p>
      <w:pPr>
        <w:pStyle w:val="24"/>
        <w:tabs>
          <w:tab w:val="left" w:pos="4878"/>
          <w:tab w:val="left" w:pos="6336"/>
          <w:tab w:val="left" w:pos="7313"/>
        </w:tabs>
        <w:spacing w:line="400" w:lineRule="exact"/>
        <w:ind w:left="420" w:firstLine="0" w:firstLineChars="0"/>
        <w:rPr>
          <w:rFonts w:ascii="Times New Roman" w:hAnsi="Times New Roman" w:cs="Times New Roman"/>
          <w:sz w:val="21"/>
        </w:rPr>
      </w:pPr>
    </w:p>
    <w:p>
      <w:pPr>
        <w:spacing w:line="400" w:lineRule="exact"/>
        <w:outlineLvl w:val="1"/>
        <w:rPr>
          <w:rFonts w:ascii="楷体" w:hAnsi="楷体" w:eastAsia="楷体"/>
          <w:bCs/>
          <w:sz w:val="32"/>
          <w:szCs w:val="32"/>
        </w:rPr>
      </w:pPr>
      <w:r>
        <w:rPr>
          <w:rFonts w:ascii="楷体" w:hAnsi="楷体" w:eastAsia="楷体"/>
          <w:bCs/>
          <w:sz w:val="32"/>
          <w:szCs w:val="32"/>
        </w:rPr>
        <w:t>（</w:t>
      </w:r>
      <w:r>
        <w:rPr>
          <w:rFonts w:hint="eastAsia" w:ascii="楷体" w:hAnsi="楷体" w:eastAsia="楷体"/>
          <w:bCs/>
          <w:sz w:val="32"/>
          <w:szCs w:val="32"/>
        </w:rPr>
        <w:t>四</w:t>
      </w:r>
      <w:r>
        <w:rPr>
          <w:rFonts w:ascii="楷体" w:hAnsi="楷体" w:eastAsia="楷体"/>
          <w:bCs/>
          <w:sz w:val="32"/>
          <w:szCs w:val="32"/>
        </w:rPr>
        <w:t>）</w:t>
      </w:r>
      <w:r>
        <w:rPr>
          <w:rFonts w:hint="eastAsia" w:ascii="楷体" w:hAnsi="楷体" w:eastAsia="楷体"/>
          <w:bCs/>
          <w:sz w:val="32"/>
          <w:szCs w:val="32"/>
        </w:rPr>
        <w:t>课程说明</w:t>
      </w:r>
    </w:p>
    <w:p>
      <w:pPr>
        <w:ind w:firstLine="640" w:firstLineChars="200"/>
        <w:rPr>
          <w:rFonts w:ascii="仿宋" w:hAnsi="仿宋" w:eastAsia="仿宋"/>
          <w:sz w:val="32"/>
          <w:szCs w:val="32"/>
        </w:rPr>
      </w:pPr>
      <w:r>
        <w:rPr>
          <w:rFonts w:hint="eastAsia" w:ascii="仿宋" w:hAnsi="仿宋" w:eastAsia="仿宋"/>
          <w:sz w:val="32"/>
          <w:szCs w:val="32"/>
        </w:rPr>
        <w:t>《垃圾分类处理体系》、《垃圾分类公众宣传》、《垃圾分类社会监督》作为选修课程，学员最少选择其中一门课程，否则该类别学分将会不达标。届时将会通过选课方式开放给学员选课，根据选课情况决定开课的时间计划。</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hint="eastAsia" w:ascii="黑体" w:hAnsi="黑体"/>
          <w:color w:val="000000"/>
        </w:rPr>
        <w:t>八、课程要求说明</w:t>
      </w:r>
    </w:p>
    <w:p>
      <w:pPr>
        <w:ind w:firstLine="640" w:firstLineChars="200"/>
        <w:rPr>
          <w:rFonts w:ascii="仿宋" w:hAnsi="仿宋" w:eastAsia="仿宋"/>
          <w:sz w:val="32"/>
          <w:szCs w:val="32"/>
        </w:rPr>
      </w:pPr>
      <w:r>
        <w:rPr>
          <w:rFonts w:hint="eastAsia" w:ascii="仿宋" w:hAnsi="仿宋" w:eastAsia="仿宋"/>
          <w:sz w:val="32"/>
          <w:szCs w:val="32"/>
        </w:rPr>
        <w:t>1.课程学习：根据课程体系，应修满相应学分；如出现课程学分不够的情况，将无法获得资格证书；对于因个人原因无法参加现场学习的，学员可根据情况申请线上课程学习，经考核合格，也可获得相应的学分。</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实践课程</w:t>
      </w:r>
      <w:r>
        <w:rPr>
          <w:rFonts w:ascii="仿宋" w:hAnsi="仿宋" w:eastAsia="仿宋"/>
          <w:sz w:val="32"/>
          <w:szCs w:val="32"/>
        </w:rPr>
        <w:t>：</w:t>
      </w:r>
      <w:r>
        <w:rPr>
          <w:rFonts w:hint="eastAsia" w:ascii="仿宋" w:hAnsi="仿宋" w:eastAsia="仿宋"/>
          <w:sz w:val="32"/>
          <w:szCs w:val="32"/>
        </w:rPr>
        <w:t>学员在修习期间，应完成不少于6</w:t>
      </w:r>
      <w:r>
        <w:rPr>
          <w:rFonts w:ascii="仿宋" w:hAnsi="仿宋" w:eastAsia="仿宋"/>
          <w:sz w:val="32"/>
          <w:szCs w:val="32"/>
        </w:rPr>
        <w:t>0</w:t>
      </w:r>
      <w:r>
        <w:rPr>
          <w:rFonts w:hint="eastAsia" w:ascii="仿宋" w:hAnsi="仿宋" w:eastAsia="仿宋"/>
          <w:sz w:val="32"/>
          <w:szCs w:val="32"/>
        </w:rPr>
        <w:t>分的实践课程，其中所有的实践课程必须要在六个月内完成，提供实践报告，经评审专家团审核通过，方能获得学分。其中：《小小蒲公英培养（</w:t>
      </w:r>
      <w:r>
        <w:rPr>
          <w:rFonts w:ascii="仿宋" w:hAnsi="仿宋" w:eastAsia="仿宋"/>
          <w:sz w:val="32"/>
          <w:szCs w:val="32"/>
        </w:rPr>
        <w:t>2</w:t>
      </w:r>
      <w:r>
        <w:rPr>
          <w:rFonts w:hint="eastAsia" w:ascii="仿宋" w:hAnsi="仿宋" w:eastAsia="仿宋"/>
          <w:sz w:val="32"/>
          <w:szCs w:val="32"/>
        </w:rPr>
        <w:t>）》应培养不少于1</w:t>
      </w:r>
      <w:r>
        <w:rPr>
          <w:rFonts w:ascii="仿宋" w:hAnsi="仿宋" w:eastAsia="仿宋"/>
          <w:sz w:val="32"/>
          <w:szCs w:val="32"/>
        </w:rPr>
        <w:t>0</w:t>
      </w:r>
      <w:r>
        <w:rPr>
          <w:rFonts w:hint="eastAsia" w:ascii="仿宋" w:hAnsi="仿宋" w:eastAsia="仿宋"/>
          <w:sz w:val="32"/>
          <w:szCs w:val="32"/>
        </w:rPr>
        <w:t>名小小蒲公英；《蒲公英校园建设》应通过教育局验收；《垃圾分类课件开发》、《垃圾分类专项调研》、《校园垃圾堆肥》应不少于一次；《校园垃圾分类微课堂（2）》、《家校社变废为宝》活动，应举办不少于2场。</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hint="eastAsia" w:ascii="黑体" w:hAnsi="黑体"/>
          <w:color w:val="000000"/>
        </w:rPr>
        <w:t>九</w:t>
      </w:r>
      <w:r>
        <w:rPr>
          <w:rFonts w:ascii="黑体" w:hAnsi="黑体"/>
          <w:color w:val="000000"/>
        </w:rPr>
        <w:t>、</w:t>
      </w:r>
      <w:r>
        <w:rPr>
          <w:rFonts w:hint="eastAsia" w:ascii="黑体" w:hAnsi="黑体"/>
          <w:color w:val="000000"/>
        </w:rPr>
        <w:t>资格证书</w:t>
      </w:r>
      <w:r>
        <w:rPr>
          <w:rFonts w:ascii="黑体" w:hAnsi="黑体"/>
          <w:color w:val="000000"/>
        </w:rPr>
        <w:t>要求</w:t>
      </w:r>
    </w:p>
    <w:p>
      <w:pPr>
        <w:ind w:firstLine="640" w:firstLineChars="200"/>
        <w:rPr>
          <w:rFonts w:ascii="仿宋" w:hAnsi="仿宋" w:eastAsia="仿宋"/>
          <w:sz w:val="32"/>
          <w:szCs w:val="32"/>
        </w:rPr>
      </w:pPr>
      <w:r>
        <w:rPr>
          <w:rFonts w:hint="eastAsia" w:ascii="仿宋" w:hAnsi="仿宋" w:eastAsia="仿宋"/>
          <w:sz w:val="32"/>
          <w:szCs w:val="32"/>
        </w:rPr>
        <w:t>学员修满相应的课程学分，并且提交了相应的实践课程报告，如满足学分要求，可参加统一安排的试讲答辩。经评审专家评审通过，可获得资格证书；试讲答辩根据实际情况分批次组织，但该环节是必须环节。</w:t>
      </w:r>
    </w:p>
    <w:p>
      <w:pPr>
        <w:ind w:firstLine="640" w:firstLineChars="200"/>
        <w:rPr>
          <w:rFonts w:ascii="仿宋" w:hAnsi="仿宋" w:eastAsia="仿宋"/>
          <w:sz w:val="32"/>
          <w:szCs w:val="32"/>
        </w:rPr>
      </w:pPr>
      <w:r>
        <w:rPr>
          <w:rFonts w:hint="eastAsia" w:ascii="仿宋" w:hAnsi="仿宋" w:eastAsia="仿宋"/>
          <w:sz w:val="32"/>
          <w:szCs w:val="32"/>
        </w:rPr>
        <w:t>对于学习期间表现优秀的学员，评审专家团根据整体表现排名，可评选出一定名额的优秀学员，并且根据管理办法，颁发优秀学员证书。优秀学员将作为蒲公英教师名师的潜在培养对象，列入名师考察范围。</w:t>
      </w:r>
    </w:p>
    <w:p>
      <w:pPr>
        <w:ind w:firstLine="640" w:firstLineChars="200"/>
        <w:rPr>
          <w:rFonts w:ascii="仿宋" w:hAnsi="仿宋" w:eastAsia="仿宋"/>
          <w:sz w:val="32"/>
          <w:szCs w:val="32"/>
        </w:rPr>
      </w:pPr>
    </w:p>
    <w:p>
      <w:pPr>
        <w:pStyle w:val="2"/>
        <w:spacing w:before="120" w:after="120" w:line="360" w:lineRule="exact"/>
        <w:ind w:left="867" w:hanging="867" w:hangingChars="270"/>
        <w:rPr>
          <w:rFonts w:ascii="黑体" w:hAnsi="黑体"/>
          <w:color w:val="000000"/>
        </w:rPr>
      </w:pPr>
      <w:r>
        <w:rPr>
          <w:rFonts w:hint="eastAsia" w:ascii="黑体" w:hAnsi="黑体"/>
          <w:color w:val="000000"/>
        </w:rPr>
        <w:t>十、重要说明</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年深圳市生活垃圾分类蒲公英教师培养将会根据统一的标准和规范推进，对于课程参与情况、课程作业等要求将会严格按照标准执行。</w:t>
      </w:r>
    </w:p>
    <w:p>
      <w:pPr>
        <w:ind w:firstLine="640" w:firstLineChars="200"/>
        <w:rPr>
          <w:rFonts w:ascii="仿宋" w:hAnsi="仿宋" w:eastAsia="仿宋"/>
          <w:sz w:val="32"/>
          <w:szCs w:val="32"/>
        </w:rPr>
      </w:pPr>
      <w:r>
        <w:rPr>
          <w:rFonts w:hint="eastAsia" w:ascii="仿宋" w:hAnsi="仿宋" w:eastAsia="仿宋"/>
          <w:sz w:val="32"/>
          <w:szCs w:val="32"/>
        </w:rPr>
        <w:t>蒲公英中级教师的学习成绩和评审结果，将会作为蒲公英名师选拔的重要指标，所以如果需要进一步申报名师培养，需十分重视此项培训的成绩。</w:t>
      </w:r>
    </w:p>
    <w:p>
      <w:pPr>
        <w:ind w:firstLine="640" w:firstLineChars="200"/>
        <w:rPr>
          <w:rFonts w:ascii="仿宋" w:hAnsi="仿宋" w:eastAsia="仿宋"/>
          <w:sz w:val="32"/>
          <w:szCs w:val="32"/>
        </w:rPr>
      </w:pPr>
      <w:r>
        <w:rPr>
          <w:rFonts w:hint="eastAsia" w:ascii="仿宋" w:hAnsi="仿宋" w:eastAsia="仿宋"/>
          <w:sz w:val="32"/>
          <w:szCs w:val="32"/>
        </w:rPr>
        <w:t>【以下无正文】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DB2"/>
    <w:multiLevelType w:val="multilevel"/>
    <w:tmpl w:val="068A0D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E1F5034"/>
    <w:multiLevelType w:val="multilevel"/>
    <w:tmpl w:val="4E1F50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21"/>
    <w:rsid w:val="00005B28"/>
    <w:rsid w:val="000128AB"/>
    <w:rsid w:val="00035DC3"/>
    <w:rsid w:val="00037055"/>
    <w:rsid w:val="000412AC"/>
    <w:rsid w:val="0005298F"/>
    <w:rsid w:val="00053A87"/>
    <w:rsid w:val="0006474B"/>
    <w:rsid w:val="00075A5F"/>
    <w:rsid w:val="000904F2"/>
    <w:rsid w:val="00091DA6"/>
    <w:rsid w:val="000A3005"/>
    <w:rsid w:val="000C2AB1"/>
    <w:rsid w:val="000C42E8"/>
    <w:rsid w:val="000C44CF"/>
    <w:rsid w:val="000C4EF3"/>
    <w:rsid w:val="000C7BCD"/>
    <w:rsid w:val="000D1D72"/>
    <w:rsid w:val="000E1C29"/>
    <w:rsid w:val="000E743B"/>
    <w:rsid w:val="000F6890"/>
    <w:rsid w:val="000F6A08"/>
    <w:rsid w:val="001008D0"/>
    <w:rsid w:val="00106D62"/>
    <w:rsid w:val="00110A4C"/>
    <w:rsid w:val="00116BEC"/>
    <w:rsid w:val="001177BE"/>
    <w:rsid w:val="001225CE"/>
    <w:rsid w:val="00123F4A"/>
    <w:rsid w:val="001261A1"/>
    <w:rsid w:val="0013047C"/>
    <w:rsid w:val="001423BA"/>
    <w:rsid w:val="00143033"/>
    <w:rsid w:val="001445B0"/>
    <w:rsid w:val="00157C65"/>
    <w:rsid w:val="00171940"/>
    <w:rsid w:val="00185F77"/>
    <w:rsid w:val="00191A03"/>
    <w:rsid w:val="001975F8"/>
    <w:rsid w:val="001A01BE"/>
    <w:rsid w:val="001A65E2"/>
    <w:rsid w:val="001B0AB8"/>
    <w:rsid w:val="001C1E82"/>
    <w:rsid w:val="001C2676"/>
    <w:rsid w:val="001C576F"/>
    <w:rsid w:val="001D470B"/>
    <w:rsid w:val="001D5309"/>
    <w:rsid w:val="001D5512"/>
    <w:rsid w:val="001E3C7F"/>
    <w:rsid w:val="001E57C3"/>
    <w:rsid w:val="001F09F8"/>
    <w:rsid w:val="001F160D"/>
    <w:rsid w:val="001F23E6"/>
    <w:rsid w:val="00203CFC"/>
    <w:rsid w:val="0020706D"/>
    <w:rsid w:val="002101B9"/>
    <w:rsid w:val="002205BE"/>
    <w:rsid w:val="00235590"/>
    <w:rsid w:val="00236F1F"/>
    <w:rsid w:val="00254624"/>
    <w:rsid w:val="0025636A"/>
    <w:rsid w:val="00261030"/>
    <w:rsid w:val="00264095"/>
    <w:rsid w:val="00266DF1"/>
    <w:rsid w:val="002726CA"/>
    <w:rsid w:val="0027450D"/>
    <w:rsid w:val="0028129E"/>
    <w:rsid w:val="00282FD5"/>
    <w:rsid w:val="00287347"/>
    <w:rsid w:val="00294900"/>
    <w:rsid w:val="002A40F3"/>
    <w:rsid w:val="002A7655"/>
    <w:rsid w:val="002B0A0D"/>
    <w:rsid w:val="002C4EE8"/>
    <w:rsid w:val="002E6FA6"/>
    <w:rsid w:val="002F2E56"/>
    <w:rsid w:val="00300340"/>
    <w:rsid w:val="00301779"/>
    <w:rsid w:val="00313121"/>
    <w:rsid w:val="00313679"/>
    <w:rsid w:val="00327362"/>
    <w:rsid w:val="003378C1"/>
    <w:rsid w:val="00344611"/>
    <w:rsid w:val="00356A8F"/>
    <w:rsid w:val="0036341B"/>
    <w:rsid w:val="00386F63"/>
    <w:rsid w:val="00394223"/>
    <w:rsid w:val="00394FCB"/>
    <w:rsid w:val="0039793B"/>
    <w:rsid w:val="003A731D"/>
    <w:rsid w:val="003B3077"/>
    <w:rsid w:val="003C081F"/>
    <w:rsid w:val="003C190F"/>
    <w:rsid w:val="003F3013"/>
    <w:rsid w:val="003F458D"/>
    <w:rsid w:val="003F5D98"/>
    <w:rsid w:val="004032AA"/>
    <w:rsid w:val="0041058F"/>
    <w:rsid w:val="00411D2C"/>
    <w:rsid w:val="00412A06"/>
    <w:rsid w:val="004216EC"/>
    <w:rsid w:val="00442E3C"/>
    <w:rsid w:val="004523D1"/>
    <w:rsid w:val="00455418"/>
    <w:rsid w:val="0045657B"/>
    <w:rsid w:val="00461A7A"/>
    <w:rsid w:val="00466AB5"/>
    <w:rsid w:val="004700B9"/>
    <w:rsid w:val="00493E51"/>
    <w:rsid w:val="004A07DF"/>
    <w:rsid w:val="004B02A4"/>
    <w:rsid w:val="004B1408"/>
    <w:rsid w:val="004B632F"/>
    <w:rsid w:val="004B65AB"/>
    <w:rsid w:val="004B7518"/>
    <w:rsid w:val="004C2A84"/>
    <w:rsid w:val="004C477B"/>
    <w:rsid w:val="004C4DE4"/>
    <w:rsid w:val="00513FCF"/>
    <w:rsid w:val="00526797"/>
    <w:rsid w:val="00534323"/>
    <w:rsid w:val="00542CC3"/>
    <w:rsid w:val="0054323E"/>
    <w:rsid w:val="00590003"/>
    <w:rsid w:val="00592F49"/>
    <w:rsid w:val="005957B4"/>
    <w:rsid w:val="005A381A"/>
    <w:rsid w:val="005A7F48"/>
    <w:rsid w:val="005B4822"/>
    <w:rsid w:val="005B647D"/>
    <w:rsid w:val="005C10F0"/>
    <w:rsid w:val="005E244C"/>
    <w:rsid w:val="005F2195"/>
    <w:rsid w:val="00611751"/>
    <w:rsid w:val="00627805"/>
    <w:rsid w:val="00630F06"/>
    <w:rsid w:val="00633F53"/>
    <w:rsid w:val="00637CC7"/>
    <w:rsid w:val="00647A7F"/>
    <w:rsid w:val="00650545"/>
    <w:rsid w:val="00656686"/>
    <w:rsid w:val="0066218B"/>
    <w:rsid w:val="00663707"/>
    <w:rsid w:val="00670B6A"/>
    <w:rsid w:val="006737A0"/>
    <w:rsid w:val="00673D87"/>
    <w:rsid w:val="0067691A"/>
    <w:rsid w:val="006837AB"/>
    <w:rsid w:val="00687053"/>
    <w:rsid w:val="00696971"/>
    <w:rsid w:val="006A2DA1"/>
    <w:rsid w:val="006A3B15"/>
    <w:rsid w:val="006B65D8"/>
    <w:rsid w:val="006C16B3"/>
    <w:rsid w:val="006C32A7"/>
    <w:rsid w:val="006D50D8"/>
    <w:rsid w:val="006E7138"/>
    <w:rsid w:val="006F7692"/>
    <w:rsid w:val="00703ACF"/>
    <w:rsid w:val="00711DA3"/>
    <w:rsid w:val="00713C34"/>
    <w:rsid w:val="00715BB5"/>
    <w:rsid w:val="00722FC9"/>
    <w:rsid w:val="00725E2D"/>
    <w:rsid w:val="00730BF9"/>
    <w:rsid w:val="007376A4"/>
    <w:rsid w:val="00754F65"/>
    <w:rsid w:val="0076228D"/>
    <w:rsid w:val="00770BFA"/>
    <w:rsid w:val="00776B0F"/>
    <w:rsid w:val="00784A67"/>
    <w:rsid w:val="00785E18"/>
    <w:rsid w:val="00793E13"/>
    <w:rsid w:val="007953A1"/>
    <w:rsid w:val="007A1840"/>
    <w:rsid w:val="007B482E"/>
    <w:rsid w:val="007C50F8"/>
    <w:rsid w:val="007D0F18"/>
    <w:rsid w:val="007D268F"/>
    <w:rsid w:val="007E34BD"/>
    <w:rsid w:val="00800B0C"/>
    <w:rsid w:val="00800D17"/>
    <w:rsid w:val="00800F78"/>
    <w:rsid w:val="008242C9"/>
    <w:rsid w:val="00870024"/>
    <w:rsid w:val="00881677"/>
    <w:rsid w:val="008A4566"/>
    <w:rsid w:val="008A65A4"/>
    <w:rsid w:val="008B1B23"/>
    <w:rsid w:val="008C134F"/>
    <w:rsid w:val="008C34E1"/>
    <w:rsid w:val="008C7A61"/>
    <w:rsid w:val="008D56C0"/>
    <w:rsid w:val="008D7B81"/>
    <w:rsid w:val="008D7B9F"/>
    <w:rsid w:val="008E0219"/>
    <w:rsid w:val="008F6A60"/>
    <w:rsid w:val="00914644"/>
    <w:rsid w:val="00917C54"/>
    <w:rsid w:val="00924B79"/>
    <w:rsid w:val="00931C88"/>
    <w:rsid w:val="00944B70"/>
    <w:rsid w:val="009603F6"/>
    <w:rsid w:val="00967FA7"/>
    <w:rsid w:val="009748F9"/>
    <w:rsid w:val="00981380"/>
    <w:rsid w:val="00981D5E"/>
    <w:rsid w:val="00986AC7"/>
    <w:rsid w:val="00992A79"/>
    <w:rsid w:val="009943C2"/>
    <w:rsid w:val="00996807"/>
    <w:rsid w:val="009A31EE"/>
    <w:rsid w:val="009A646D"/>
    <w:rsid w:val="009B17BD"/>
    <w:rsid w:val="009B1D00"/>
    <w:rsid w:val="009C047E"/>
    <w:rsid w:val="009D66F2"/>
    <w:rsid w:val="009D78D3"/>
    <w:rsid w:val="009E65FA"/>
    <w:rsid w:val="00A027D4"/>
    <w:rsid w:val="00A132B2"/>
    <w:rsid w:val="00A21230"/>
    <w:rsid w:val="00A22E94"/>
    <w:rsid w:val="00A319A4"/>
    <w:rsid w:val="00A34830"/>
    <w:rsid w:val="00A52ECF"/>
    <w:rsid w:val="00A84EA0"/>
    <w:rsid w:val="00A87F32"/>
    <w:rsid w:val="00A92352"/>
    <w:rsid w:val="00A945B3"/>
    <w:rsid w:val="00AB33CC"/>
    <w:rsid w:val="00AB734D"/>
    <w:rsid w:val="00AB75B6"/>
    <w:rsid w:val="00AD2E83"/>
    <w:rsid w:val="00AD3418"/>
    <w:rsid w:val="00AD3E3A"/>
    <w:rsid w:val="00AD41D3"/>
    <w:rsid w:val="00AD5B2A"/>
    <w:rsid w:val="00AD7180"/>
    <w:rsid w:val="00AE4E5E"/>
    <w:rsid w:val="00B00B81"/>
    <w:rsid w:val="00B0314A"/>
    <w:rsid w:val="00B034CC"/>
    <w:rsid w:val="00B16696"/>
    <w:rsid w:val="00B16C0A"/>
    <w:rsid w:val="00B33E71"/>
    <w:rsid w:val="00B4133F"/>
    <w:rsid w:val="00B52989"/>
    <w:rsid w:val="00B56920"/>
    <w:rsid w:val="00B5760B"/>
    <w:rsid w:val="00B60CED"/>
    <w:rsid w:val="00B65C17"/>
    <w:rsid w:val="00B832C5"/>
    <w:rsid w:val="00B8403D"/>
    <w:rsid w:val="00B86822"/>
    <w:rsid w:val="00B87821"/>
    <w:rsid w:val="00B87BA8"/>
    <w:rsid w:val="00BA3513"/>
    <w:rsid w:val="00BB0A9D"/>
    <w:rsid w:val="00BB3FFA"/>
    <w:rsid w:val="00BC1737"/>
    <w:rsid w:val="00BD0357"/>
    <w:rsid w:val="00BD1923"/>
    <w:rsid w:val="00BD7922"/>
    <w:rsid w:val="00BF1E73"/>
    <w:rsid w:val="00BF74BB"/>
    <w:rsid w:val="00C07368"/>
    <w:rsid w:val="00C12102"/>
    <w:rsid w:val="00C17362"/>
    <w:rsid w:val="00C22616"/>
    <w:rsid w:val="00C3271C"/>
    <w:rsid w:val="00C47C9F"/>
    <w:rsid w:val="00C52AE2"/>
    <w:rsid w:val="00C664C9"/>
    <w:rsid w:val="00C67668"/>
    <w:rsid w:val="00C67E3B"/>
    <w:rsid w:val="00C713C5"/>
    <w:rsid w:val="00C752AD"/>
    <w:rsid w:val="00C75503"/>
    <w:rsid w:val="00C75667"/>
    <w:rsid w:val="00C763A1"/>
    <w:rsid w:val="00C92CB6"/>
    <w:rsid w:val="00CA6646"/>
    <w:rsid w:val="00CB222C"/>
    <w:rsid w:val="00CB7E93"/>
    <w:rsid w:val="00CB7FC8"/>
    <w:rsid w:val="00CC77AA"/>
    <w:rsid w:val="00CD2749"/>
    <w:rsid w:val="00CE66B3"/>
    <w:rsid w:val="00CE6FFF"/>
    <w:rsid w:val="00D02967"/>
    <w:rsid w:val="00D16CC5"/>
    <w:rsid w:val="00D21DCF"/>
    <w:rsid w:val="00D2395F"/>
    <w:rsid w:val="00D25339"/>
    <w:rsid w:val="00D44778"/>
    <w:rsid w:val="00D4501D"/>
    <w:rsid w:val="00D46630"/>
    <w:rsid w:val="00D61720"/>
    <w:rsid w:val="00DA4016"/>
    <w:rsid w:val="00DA526F"/>
    <w:rsid w:val="00DA7CFE"/>
    <w:rsid w:val="00DB0348"/>
    <w:rsid w:val="00DB0768"/>
    <w:rsid w:val="00DB67D7"/>
    <w:rsid w:val="00DB7A3F"/>
    <w:rsid w:val="00DD5118"/>
    <w:rsid w:val="00DD54C8"/>
    <w:rsid w:val="00DF0431"/>
    <w:rsid w:val="00DF2F31"/>
    <w:rsid w:val="00E0324B"/>
    <w:rsid w:val="00E03798"/>
    <w:rsid w:val="00E1269F"/>
    <w:rsid w:val="00E12BCD"/>
    <w:rsid w:val="00E32A49"/>
    <w:rsid w:val="00E46228"/>
    <w:rsid w:val="00E54658"/>
    <w:rsid w:val="00E61307"/>
    <w:rsid w:val="00E708BE"/>
    <w:rsid w:val="00E7239D"/>
    <w:rsid w:val="00E76961"/>
    <w:rsid w:val="00E84B3E"/>
    <w:rsid w:val="00EA0B18"/>
    <w:rsid w:val="00EA20EF"/>
    <w:rsid w:val="00EB5771"/>
    <w:rsid w:val="00EB7CB4"/>
    <w:rsid w:val="00EC3CF7"/>
    <w:rsid w:val="00EF0801"/>
    <w:rsid w:val="00F07384"/>
    <w:rsid w:val="00F422C3"/>
    <w:rsid w:val="00F47080"/>
    <w:rsid w:val="00F54499"/>
    <w:rsid w:val="00F56314"/>
    <w:rsid w:val="00F6122C"/>
    <w:rsid w:val="00F631B8"/>
    <w:rsid w:val="00F6667D"/>
    <w:rsid w:val="00F669FF"/>
    <w:rsid w:val="00F82D1C"/>
    <w:rsid w:val="00F9026F"/>
    <w:rsid w:val="00F93F8C"/>
    <w:rsid w:val="00FA0BF6"/>
    <w:rsid w:val="00FA1A0E"/>
    <w:rsid w:val="00FA4CB1"/>
    <w:rsid w:val="00FA504B"/>
    <w:rsid w:val="00FA65D1"/>
    <w:rsid w:val="00FC2726"/>
    <w:rsid w:val="00FC75A7"/>
    <w:rsid w:val="00FD629A"/>
    <w:rsid w:val="00FE3F1A"/>
    <w:rsid w:val="00FE4DB1"/>
    <w:rsid w:val="00FF4971"/>
    <w:rsid w:val="168C3363"/>
    <w:rsid w:val="33CF60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link w:val="1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Plain Text"/>
    <w:basedOn w:val="1"/>
    <w:link w:val="14"/>
    <w:qFormat/>
    <w:uiPriority w:val="0"/>
    <w:rPr>
      <w:rFonts w:ascii="宋体" w:hAnsi="Courier New"/>
      <w:szCs w:val="21"/>
    </w:rPr>
  </w:style>
  <w:style w:type="paragraph" w:styleId="6">
    <w:name w:val="Balloon Text"/>
    <w:basedOn w:val="1"/>
    <w:link w:val="20"/>
    <w:semiHidden/>
    <w:unhideWhenUsed/>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6"/>
    <w:semiHidden/>
    <w:unhideWhenUsed/>
    <w:qFormat/>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纯文本 字符"/>
    <w:basedOn w:val="11"/>
    <w:link w:val="5"/>
    <w:qFormat/>
    <w:uiPriority w:val="0"/>
    <w:rPr>
      <w:rFonts w:ascii="宋体" w:hAnsi="Courier New" w:eastAsia="宋体" w:cs="Times New Roman"/>
      <w:szCs w:val="21"/>
    </w:rPr>
  </w:style>
  <w:style w:type="character" w:customStyle="1" w:styleId="15">
    <w:name w:val="标题3+黑体小三 Char"/>
    <w:link w:val="16"/>
    <w:qFormat/>
    <w:uiPriority w:val="0"/>
    <w:rPr>
      <w:rFonts w:cs="宋体" w:asciiTheme="minorEastAsia" w:hAnsiTheme="minorEastAsia"/>
      <w:b/>
      <w:szCs w:val="21"/>
    </w:rPr>
  </w:style>
  <w:style w:type="paragraph" w:customStyle="1" w:styleId="16">
    <w:name w:val="标题3+黑体小三"/>
    <w:next w:val="3"/>
    <w:link w:val="15"/>
    <w:qFormat/>
    <w:uiPriority w:val="0"/>
    <w:pPr>
      <w:spacing w:after="120" w:line="415" w:lineRule="auto"/>
      <w:jc w:val="center"/>
    </w:pPr>
    <w:rPr>
      <w:rFonts w:cs="宋体" w:asciiTheme="minorEastAsia" w:hAnsiTheme="minorEastAsia" w:eastAsiaTheme="minorEastAsia"/>
      <w:b/>
      <w:kern w:val="2"/>
      <w:sz w:val="21"/>
      <w:szCs w:val="21"/>
      <w:lang w:val="en-US" w:eastAsia="zh-CN" w:bidi="ar-SA"/>
    </w:rPr>
  </w:style>
  <w:style w:type="paragraph" w:customStyle="1" w:styleId="17">
    <w:name w:val="标题4+黑体小四"/>
    <w:next w:val="1"/>
    <w:link w:val="18"/>
    <w:qFormat/>
    <w:uiPriority w:val="99"/>
    <w:pPr>
      <w:spacing w:before="156" w:beforeLines="50" w:after="156" w:afterLines="50" w:line="360" w:lineRule="exact"/>
    </w:pPr>
    <w:rPr>
      <w:rFonts w:ascii="Times New Roman" w:hAnsi="Times New Roman" w:eastAsia="宋体" w:cs="Times New Roman"/>
      <w:b/>
      <w:color w:val="000000"/>
      <w:sz w:val="24"/>
      <w:szCs w:val="24"/>
      <w:lang w:val="en-US" w:eastAsia="zh-CN" w:bidi="ar-SA"/>
    </w:rPr>
  </w:style>
  <w:style w:type="character" w:customStyle="1" w:styleId="18">
    <w:name w:val="标题4+黑体小四 Char"/>
    <w:link w:val="17"/>
    <w:qFormat/>
    <w:uiPriority w:val="99"/>
    <w:rPr>
      <w:rFonts w:ascii="Times New Roman" w:hAnsi="Times New Roman" w:eastAsia="宋体" w:cs="Times New Roman"/>
      <w:b/>
      <w:color w:val="000000"/>
      <w:kern w:val="0"/>
      <w:sz w:val="24"/>
      <w:szCs w:val="24"/>
    </w:rPr>
  </w:style>
  <w:style w:type="character" w:customStyle="1" w:styleId="19">
    <w:name w:val="标题 4 字符"/>
    <w:basedOn w:val="11"/>
    <w:link w:val="3"/>
    <w:semiHidden/>
    <w:qFormat/>
    <w:uiPriority w:val="9"/>
    <w:rPr>
      <w:rFonts w:asciiTheme="majorHAnsi" w:hAnsiTheme="majorHAnsi" w:eastAsiaTheme="majorEastAsia" w:cstheme="majorBidi"/>
      <w:b/>
      <w:bCs/>
      <w:sz w:val="28"/>
      <w:szCs w:val="28"/>
    </w:rPr>
  </w:style>
  <w:style w:type="character" w:customStyle="1" w:styleId="20">
    <w:name w:val="批注框文本 字符"/>
    <w:basedOn w:val="11"/>
    <w:link w:val="6"/>
    <w:semiHidden/>
    <w:uiPriority w:val="99"/>
    <w:rPr>
      <w:rFonts w:ascii="Times New Roman" w:hAnsi="Times New Roman" w:eastAsia="宋体" w:cs="Times New Roman"/>
      <w:sz w:val="18"/>
      <w:szCs w:val="18"/>
    </w:rPr>
  </w:style>
  <w:style w:type="character" w:customStyle="1" w:styleId="21">
    <w:name w:val="页眉 字符"/>
    <w:basedOn w:val="11"/>
    <w:link w:val="8"/>
    <w:qFormat/>
    <w:uiPriority w:val="99"/>
    <w:rPr>
      <w:rFonts w:ascii="Times New Roman" w:hAnsi="Times New Roman" w:eastAsia="宋体" w:cs="Times New Roman"/>
      <w:sz w:val="18"/>
      <w:szCs w:val="18"/>
    </w:rPr>
  </w:style>
  <w:style w:type="character" w:customStyle="1" w:styleId="22">
    <w:name w:val="页脚 字符"/>
    <w:basedOn w:val="11"/>
    <w:link w:val="7"/>
    <w:qFormat/>
    <w:uiPriority w:val="99"/>
    <w:rPr>
      <w:rFonts w:ascii="Times New Roman" w:hAnsi="Times New Roman" w:eastAsia="宋体" w:cs="Times New Roman"/>
      <w:sz w:val="18"/>
      <w:szCs w:val="18"/>
    </w:rPr>
  </w:style>
  <w:style w:type="character" w:customStyle="1" w:styleId="23">
    <w:name w:val="标题 2 字符"/>
    <w:basedOn w:val="11"/>
    <w:link w:val="2"/>
    <w:uiPriority w:val="0"/>
    <w:rPr>
      <w:rFonts w:ascii="Arial" w:hAnsi="Arial" w:eastAsia="黑体" w:cs="Times New Roman"/>
      <w:b/>
      <w:bCs/>
      <w:sz w:val="32"/>
      <w:szCs w:val="32"/>
    </w:rPr>
  </w:style>
  <w:style w:type="paragraph" w:styleId="24">
    <w:name w:val="List Paragraph"/>
    <w:basedOn w:val="1"/>
    <w:qFormat/>
    <w:uiPriority w:val="34"/>
    <w:pPr>
      <w:widowControl/>
      <w:ind w:firstLine="420" w:firstLineChars="200"/>
      <w:jc w:val="left"/>
    </w:pPr>
    <w:rPr>
      <w:rFonts w:ascii="宋体" w:hAnsi="宋体" w:cs="宋体"/>
      <w:kern w:val="0"/>
      <w:sz w:val="24"/>
    </w:rPr>
  </w:style>
  <w:style w:type="character" w:customStyle="1" w:styleId="25">
    <w:name w:val="批注文字 字符"/>
    <w:basedOn w:val="11"/>
    <w:link w:val="4"/>
    <w:semiHidden/>
    <w:qFormat/>
    <w:uiPriority w:val="99"/>
    <w:rPr>
      <w:rFonts w:ascii="Times New Roman" w:hAnsi="Times New Roman" w:eastAsia="宋体" w:cs="Times New Roman"/>
      <w:szCs w:val="24"/>
    </w:rPr>
  </w:style>
  <w:style w:type="character" w:customStyle="1" w:styleId="26">
    <w:name w:val="批注主题 字符"/>
    <w:basedOn w:val="25"/>
    <w:link w:val="9"/>
    <w:semiHidden/>
    <w:qFormat/>
    <w:uiPriority w:val="99"/>
    <w:rPr>
      <w:rFonts w:ascii="Times New Roman" w:hAnsi="Times New Roman" w:eastAsia="宋体" w:cs="Times New Roman"/>
      <w:b/>
      <w:bCs/>
      <w:szCs w:val="24"/>
    </w:rPr>
  </w:style>
  <w:style w:type="character" w:customStyle="1" w:styleId="27">
    <w:name w:val="ke-content-forecolo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CCB79-881E-4423-958F-06212B68EE97}">
  <ds:schemaRefs/>
</ds:datastoreItem>
</file>

<file path=docProps/app.xml><?xml version="1.0" encoding="utf-8"?>
<Properties xmlns="http://schemas.openxmlformats.org/officeDocument/2006/extended-properties" xmlns:vt="http://schemas.openxmlformats.org/officeDocument/2006/docPropsVTypes">
  <Template>Normal</Template>
  <Pages>4</Pages>
  <Words>258</Words>
  <Characters>1475</Characters>
  <Lines>12</Lines>
  <Paragraphs>3</Paragraphs>
  <TotalTime>158</TotalTime>
  <ScaleCrop>false</ScaleCrop>
  <LinksUpToDate>false</LinksUpToDate>
  <CharactersWithSpaces>1730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2021-05-28T13:16:00Z</dcterms:created>
  <dc:creator>deeplm</dc:creator>
  <cp:lastModifiedBy>吴艳平</cp:lastModifiedBy>
  <dcterms:modified xsi:type="dcterms:W3CDTF">2021-08-20T06:19:57Z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