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sz w:val="36"/>
          <w:szCs w:val="36"/>
        </w:rPr>
      </w:pPr>
      <w:r>
        <w:rPr>
          <w:rFonts w:hint="eastAsia" w:ascii="宋体" w:hAnsi="宋体"/>
          <w:b/>
          <w:sz w:val="36"/>
          <w:szCs w:val="36"/>
        </w:rPr>
        <w:t>深圳市龙华区科技创新局科技创新产业用房运营</w:t>
      </w:r>
    </w:p>
    <w:p>
      <w:pPr>
        <w:adjustRightInd w:val="0"/>
        <w:snapToGrid w:val="0"/>
        <w:jc w:val="center"/>
        <w:rPr>
          <w:rFonts w:ascii="宋体" w:hAnsi="宋体"/>
          <w:b/>
          <w:sz w:val="36"/>
          <w:szCs w:val="36"/>
        </w:rPr>
      </w:pPr>
      <w:r>
        <w:rPr>
          <w:rFonts w:hint="eastAsia" w:ascii="宋体" w:hAnsi="宋体"/>
          <w:b/>
          <w:sz w:val="36"/>
          <w:szCs w:val="36"/>
        </w:rPr>
        <w:t>管理服务项目需求书</w:t>
      </w:r>
    </w:p>
    <w:p>
      <w:pPr>
        <w:adjustRightInd w:val="0"/>
        <w:snapToGrid w:val="0"/>
        <w:jc w:val="center"/>
        <w:rPr>
          <w:rFonts w:ascii="宋体" w:hAnsi="宋体"/>
          <w:b/>
          <w:sz w:val="36"/>
          <w:szCs w:val="36"/>
        </w:rPr>
      </w:pPr>
    </w:p>
    <w:p>
      <w:pPr>
        <w:outlineLvl w:val="0"/>
        <w:rPr>
          <w:rFonts w:ascii="宋体" w:hAnsi="宋体"/>
          <w:b/>
          <w:szCs w:val="21"/>
        </w:rPr>
      </w:pPr>
    </w:p>
    <w:tbl>
      <w:tblPr>
        <w:tblStyle w:val="8"/>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4098"/>
        <w:gridCol w:w="1495"/>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项目名称</w:t>
            </w:r>
          </w:p>
        </w:tc>
        <w:tc>
          <w:tcPr>
            <w:tcW w:w="84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CESI宋体-GB2312" w:hAnsi="CESI宋体-GB2312" w:eastAsia="CESI宋体-GB2312" w:cs="CESI宋体-GB2312"/>
              </w:rPr>
            </w:pPr>
            <w:r>
              <w:rPr>
                <w:rFonts w:ascii="CESI宋体-GB2312" w:hAnsi="CESI宋体-GB2312" w:eastAsia="CESI宋体-GB2312" w:cs="CESI宋体-GB2312"/>
              </w:rPr>
              <w:t>深圳市龙华区科技创新局科技创新产业用房运营管理服务</w:t>
            </w:r>
            <w:r>
              <w:rPr>
                <w:rFonts w:hint="eastAsia" w:ascii="CESI宋体-GB2312" w:hAnsi="CESI宋体-GB2312" w:eastAsia="CESI宋体-GB2312" w:cs="CESI宋体-GB231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采购人名称</w:t>
            </w:r>
          </w:p>
        </w:tc>
        <w:tc>
          <w:tcPr>
            <w:tcW w:w="4098" w:type="dxa"/>
            <w:tcBorders>
              <w:top w:val="single" w:color="auto" w:sz="4" w:space="0"/>
              <w:left w:val="single" w:color="auto" w:sz="4" w:space="0"/>
              <w:bottom w:val="single" w:color="auto" w:sz="4" w:space="0"/>
              <w:right w:val="single" w:color="auto" w:sz="4" w:space="0"/>
            </w:tcBorders>
          </w:tcPr>
          <w:p>
            <w:pPr>
              <w:spacing w:line="400" w:lineRule="exact"/>
              <w:rPr>
                <w:rFonts w:ascii="CESI宋体-GB2312" w:hAnsi="CESI宋体-GB2312" w:eastAsia="CESI宋体-GB2312" w:cs="CESI宋体-GB2312"/>
              </w:rPr>
            </w:pPr>
            <w:r>
              <w:rPr>
                <w:rFonts w:hint="eastAsia" w:ascii="CESI宋体-GB2312" w:hAnsi="CESI宋体-GB2312" w:eastAsia="CESI宋体-GB2312" w:cs="CESI宋体-GB2312"/>
              </w:rPr>
              <w:t>深圳市龙华区</w:t>
            </w:r>
            <w:r>
              <w:rPr>
                <w:rFonts w:ascii="CESI宋体-GB2312" w:hAnsi="CESI宋体-GB2312" w:eastAsia="CESI宋体-GB2312" w:cs="CESI宋体-GB2312"/>
              </w:rPr>
              <w:t>科技创新局</w:t>
            </w:r>
          </w:p>
        </w:tc>
        <w:tc>
          <w:tcPr>
            <w:tcW w:w="1495" w:type="dxa"/>
            <w:tcBorders>
              <w:top w:val="single" w:color="auto" w:sz="4" w:space="0"/>
              <w:left w:val="single" w:color="auto" w:sz="4" w:space="0"/>
              <w:bottom w:val="single" w:color="auto" w:sz="4" w:space="0"/>
              <w:right w:val="single" w:color="auto" w:sz="4" w:space="0"/>
            </w:tcBorders>
          </w:tcPr>
          <w:p>
            <w:pPr>
              <w:spacing w:line="400" w:lineRule="exact"/>
              <w:jc w:val="center"/>
              <w:rPr>
                <w:rFonts w:cs="CESI宋体-GB2312" w:asciiTheme="minorEastAsia" w:hAnsiTheme="minorEastAsia" w:eastAsiaTheme="minorEastAsia"/>
                <w:b/>
                <w:bCs/>
              </w:rPr>
            </w:pPr>
            <w:r>
              <w:rPr>
                <w:rFonts w:hint="eastAsia" w:cs="CESI宋体-GB2312" w:asciiTheme="minorEastAsia" w:hAnsiTheme="minorEastAsia" w:eastAsiaTheme="minorEastAsia"/>
                <w:b/>
                <w:bCs/>
              </w:rPr>
              <w:t>采购方式</w:t>
            </w:r>
          </w:p>
        </w:tc>
        <w:tc>
          <w:tcPr>
            <w:tcW w:w="2839" w:type="dxa"/>
            <w:tcBorders>
              <w:top w:val="single" w:color="auto" w:sz="4" w:space="0"/>
              <w:left w:val="single" w:color="auto" w:sz="4" w:space="0"/>
              <w:bottom w:val="single" w:color="auto" w:sz="4" w:space="0"/>
              <w:right w:val="single" w:color="auto" w:sz="4" w:space="0"/>
            </w:tcBorders>
          </w:tcPr>
          <w:p>
            <w:pPr>
              <w:spacing w:line="400" w:lineRule="exact"/>
              <w:rPr>
                <w:rFonts w:ascii="CESI宋体-GB2312" w:hAnsi="CESI宋体-GB2312" w:eastAsia="CESI宋体-GB2312" w:cs="CESI宋体-GB2312"/>
              </w:rPr>
            </w:pPr>
            <w:r>
              <w:rPr>
                <w:rFonts w:hint="eastAsia" w:ascii="CESI宋体-GB2312" w:hAnsi="CESI宋体-GB2312" w:eastAsia="CESI宋体-GB2312" w:cs="CESI宋体-GB2312"/>
              </w:rPr>
              <w:t>公开征集综合评分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FF0000"/>
              </w:rPr>
            </w:pPr>
            <w:r>
              <w:rPr>
                <w:rFonts w:hint="eastAsia" w:ascii="宋体" w:hAnsi="宋体"/>
                <w:b/>
                <w:bCs/>
              </w:rPr>
              <w:t>本项目预计费用</w:t>
            </w:r>
          </w:p>
        </w:tc>
        <w:tc>
          <w:tcPr>
            <w:tcW w:w="8432" w:type="dxa"/>
            <w:gridSpan w:val="3"/>
            <w:tcBorders>
              <w:top w:val="single" w:color="auto" w:sz="4" w:space="0"/>
              <w:left w:val="single" w:color="auto" w:sz="4" w:space="0"/>
              <w:bottom w:val="single" w:color="auto" w:sz="4" w:space="0"/>
              <w:right w:val="single" w:color="auto" w:sz="4" w:space="0"/>
            </w:tcBorders>
          </w:tcPr>
          <w:p>
            <w:pPr>
              <w:pStyle w:val="4"/>
              <w:rPr>
                <w:rFonts w:ascii="CESI宋体-GB2312" w:hAnsi="CESI宋体-GB2312" w:eastAsia="CESI宋体-GB2312" w:cs="CESI宋体-GB2312"/>
              </w:rPr>
            </w:pPr>
            <w:r>
              <w:rPr>
                <w:rFonts w:hint="eastAsia" w:ascii="CESI宋体-GB2312" w:hAnsi="CESI宋体-GB2312" w:eastAsia="CESI宋体-GB2312" w:cs="CESI宋体-GB2312"/>
                <w:lang w:val="en-US" w:eastAsia="zh-CN"/>
              </w:rPr>
              <w:t>89.1</w:t>
            </w:r>
            <w:r>
              <w:rPr>
                <w:rFonts w:hint="eastAsia" w:ascii="CESI宋体-GB2312" w:hAnsi="CESI宋体-GB2312" w:eastAsia="CESI宋体-GB2312" w:cs="CESI宋体-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项目背景</w:t>
            </w:r>
          </w:p>
        </w:tc>
        <w:tc>
          <w:tcPr>
            <w:tcW w:w="84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龙华区位于广深科技走廊核心节点，是深圳市加快打造粤港澳大湾区国际科技创新中心的重要承载区域。为做好龙华区科技产业用房发展相关工作，深圳市龙华区科技创新局拟委托专业机构开展产业用房运营、入驻企业服务等相关工作。服务产业用房包括：</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1.龙华区半导体产业园，位于龙华区观澜街道库坑社区库坑观光路1310号，建筑面积5.6万平方米，其中2.3万平方米宿舍用房。适用政策为《龙华区半导体产业园入驻管理办法》（深龙华科创规〔2020〕1号）；</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2.龙华区科技创新中心（红山6979），位于龙华区红山六九七九商业中心东南区23、25、26栋，建筑面积约3万平方米。适用政策为《龙华创新中心（红山6979）入驻管理办法》（深龙华府办规〔2019〕8号）；</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3.龙华区科技创新中心（观澜湖），位于龙华区观澜北侧紧挨观澜湖高尔夫球场附近，观澜湖新城11栋1-12层、13栋、14栋，建筑面积约2.2万平方米。适用政策为《龙华区科技创新中心（观澜湖）入驻管理办法》（深龙华府办规〔2020〕8号）；</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4.北站产业用房，包括龙华区北站壹号及数字创新中心A、B、C座，位于深圳北站核心商务区内，民塘路和白松一路交汇处总租赁面积约41万平方米。其中龙华区科技创新局负责受理区块链、人工智能、集成电路和生命健康等产业链企业，管理面积约5.76万平方米。适用政策为《龙华区北站壹号 鸿荣源北站商业中心及民治股份商业中心入驻管理办法》（深龙华府办规〔2022〕1号）；</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5.融创智汇大厦、时尚慧谷、宝能科技园（三期）。融创智汇大厦位于龙胜路和景龙建设路交汇处、时尚慧谷位于大浪街道福龙路和兴华路交汇处、宝能科技园（三期）位于龙华街道清祥路1号，总租赁面积约3.4万平方米。其中龙华区科技创新局负责受理区块链、人工智能、集成电路和生命健康等产业链企业和科技服务机构。使用政策为《龙华区融创智汇大厦 时尚慧谷及宝能科技园（三期）入驻管理办法》。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Cs w:val="21"/>
                <w:lang w:val="en"/>
              </w:rPr>
            </w:pPr>
            <w:r>
              <w:rPr>
                <w:rFonts w:ascii="宋体" w:hAnsi="宋体" w:cs="宋体"/>
                <w:b/>
                <w:bCs/>
                <w:kern w:val="0"/>
                <w:szCs w:val="21"/>
                <w:lang w:val="en"/>
              </w:rPr>
              <w:t>申请服务商</w:t>
            </w:r>
          </w:p>
          <w:p>
            <w:pPr>
              <w:jc w:val="center"/>
              <w:rPr>
                <w:rFonts w:ascii="宋体" w:hAnsi="宋体"/>
                <w:b/>
                <w:bCs/>
                <w:szCs w:val="21"/>
              </w:rPr>
            </w:pPr>
            <w:r>
              <w:rPr>
                <w:rFonts w:hint="eastAsia" w:ascii="宋体" w:hAnsi="宋体" w:cs="宋体"/>
                <w:b/>
                <w:bCs/>
                <w:kern w:val="0"/>
                <w:szCs w:val="21"/>
              </w:rPr>
              <w:t>资质要求</w:t>
            </w:r>
          </w:p>
        </w:tc>
        <w:tc>
          <w:tcPr>
            <w:tcW w:w="8432" w:type="dxa"/>
            <w:gridSpan w:val="3"/>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 xml:space="preserve">申请服务商资格要求 </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1.申请服务商须是在中华人民共和国境内注册，具有独立法人资格或是具有独立承担民事责任的能力的其它组织。</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2.申请服务商近三年内未受过行政处罚及被列入经营异常名录、严重违法失信企业名单（黑名单）（提供国家企业信用信息公示系统信息查询单http://www.gsxt.gov.cn/）。</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3.本项目不允许联合体应答。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28"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kern w:val="0"/>
                <w:szCs w:val="21"/>
              </w:rPr>
            </w:pPr>
            <w:r>
              <w:rPr>
                <w:rFonts w:hint="eastAsia" w:ascii="宋体" w:hAnsi="宋体" w:cs="宋体"/>
                <w:b/>
                <w:bCs/>
                <w:kern w:val="0"/>
                <w:szCs w:val="21"/>
              </w:rPr>
              <w:t>具体技术要求</w:t>
            </w:r>
          </w:p>
        </w:tc>
        <w:tc>
          <w:tcPr>
            <w:tcW w:w="8432" w:type="dxa"/>
            <w:gridSpan w:val="3"/>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（一）企业入驻前，对拟入驻企业提供入驻申报咨询与解答，加强产业准入的审核力度，协助采购方对所有拟入驻企业进行审核，确保入园企业符合园区发展导向；</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二）企业入驻后，对企业经营情况进行实时跟进，并协助跟进动态评估、签订产业监管协议、产业监管等工作。建立入驻企业基础管理台账，及时跟踪并反馈入驻企业的经营活动情况；协助采购方开具各类票据及催缴相关入驻半导体产业园和科技创新中心（观澜湖）企业的租金。</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（三）企业撤出后，验收物业状况，确保企业交回的物业按照合同要求交付。</w:t>
            </w:r>
          </w:p>
          <w:p>
            <w:pPr>
              <w:spacing w:line="400" w:lineRule="exact"/>
              <w:ind w:firstLine="420" w:firstLineChars="200"/>
              <w:rPr>
                <w:rFonts w:hint="eastAsia" w:ascii="CESI宋体-GB2312" w:hAnsi="CESI宋体-GB2312" w:eastAsia="CESI宋体-GB2312" w:cs="CESI宋体-GB2312"/>
                <w:color w:val="FF0000"/>
                <w:lang w:val="en-US" w:eastAsia="zh-CN"/>
              </w:rPr>
            </w:pPr>
            <w:r>
              <w:rPr>
                <w:rFonts w:hint="eastAsia" w:ascii="CESI宋体-GB2312" w:hAnsi="CESI宋体-GB2312" w:eastAsia="CESI宋体-GB2312" w:cs="CESI宋体-GB2312"/>
              </w:rPr>
              <w:t>（四）构建采购方和入驻企业之间的高效沟通和处理机制，设置园区企业生产经营台账</w:t>
            </w:r>
            <w:r>
              <w:rPr>
                <w:rFonts w:hint="eastAsia" w:ascii="CESI宋体-GB2312" w:hAnsi="CESI宋体-GB2312" w:eastAsia="CESI宋体-GB2312" w:cs="CESI宋体-GB2312"/>
                <w:lang w:eastAsia="zh-CN"/>
              </w:rPr>
              <w:t>，</w:t>
            </w:r>
            <w:r>
              <w:rPr>
                <w:rFonts w:hint="eastAsia" w:ascii="CESI宋体-GB2312" w:hAnsi="CESI宋体-GB2312" w:eastAsia="CESI宋体-GB2312" w:cs="CESI宋体-GB2312"/>
                <w:lang w:val="en-US" w:eastAsia="zh-CN"/>
              </w:rPr>
              <w:t>及时响应采购方、入驻企业服务需求</w:t>
            </w:r>
            <w:r>
              <w:rPr>
                <w:rFonts w:hint="eastAsia" w:ascii="CESI宋体-GB2312" w:hAnsi="CESI宋体-GB2312" w:eastAsia="CESI宋体-GB2312" w:cs="CESI宋体-GB2312"/>
                <w:lang w:eastAsia="zh-CN"/>
              </w:rPr>
              <w:t>。</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（五）协助开展服务园区的日常交流考察、参观接待等具体事务。根据项目现场和不同客户情况制定参观路线，做好接待、讲解工作。</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（六）配合采购方在入驻企业范围内做好各类活动宣传推广对接工作，及其他采购方安排的相关工作。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18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color w:val="000000"/>
                <w:szCs w:val="21"/>
              </w:rPr>
            </w:pPr>
            <w:r>
              <w:rPr>
                <w:rFonts w:hint="eastAsia" w:ascii="宋体" w:hAnsi="宋体"/>
                <w:b/>
                <w:bCs/>
              </w:rPr>
              <w:t>商务需求</w:t>
            </w:r>
          </w:p>
        </w:tc>
        <w:tc>
          <w:tcPr>
            <w:tcW w:w="8432" w:type="dxa"/>
            <w:gridSpan w:val="3"/>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1.人员要求</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安排具有相关行业从业经验的专业工作团队，协助采购方对各园区拟入驻企业进行审核及已入驻企业进行管理。</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2.服务期限及付款方式</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2.1服务期限：本项目服务期限为从签订合同之日起365天（一年）。</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2.2付款方式：采购方与最终选定的服务商按报价金额分三期支付，即合同签订时支付合同总金额</w:t>
            </w:r>
            <w:r>
              <w:rPr>
                <w:rFonts w:hint="eastAsia" w:ascii="CESI宋体-GB2312" w:hAnsi="CESI宋体-GB2312" w:eastAsia="CESI宋体-GB2312" w:cs="CESI宋体-GB2312"/>
                <w:lang w:val="en-US" w:eastAsia="zh-CN"/>
              </w:rPr>
              <w:t>30</w:t>
            </w:r>
            <w:r>
              <w:rPr>
                <w:rFonts w:hint="eastAsia" w:ascii="CESI宋体-GB2312" w:hAnsi="CESI宋体-GB2312" w:eastAsia="CESI宋体-GB2312" w:cs="CESI宋体-GB2312"/>
              </w:rPr>
              <w:t>%；合同签订满6个月，提交中期工作报告且采购方没有提出异议的，支付合同总金额</w:t>
            </w:r>
            <w:r>
              <w:rPr>
                <w:rFonts w:hint="eastAsia" w:ascii="CESI宋体-GB2312" w:hAnsi="CESI宋体-GB2312" w:eastAsia="CESI宋体-GB2312" w:cs="CESI宋体-GB2312"/>
                <w:lang w:val="en-US" w:eastAsia="zh-CN"/>
              </w:rPr>
              <w:t>4</w:t>
            </w:r>
            <w:r>
              <w:rPr>
                <w:rFonts w:hint="eastAsia" w:ascii="CESI宋体-GB2312" w:hAnsi="CESI宋体-GB2312" w:eastAsia="CESI宋体-GB2312" w:cs="CESI宋体-GB2312"/>
              </w:rPr>
              <w:t>0%；服务期满并验收合格后支付合同总金额</w:t>
            </w:r>
            <w:r>
              <w:rPr>
                <w:rFonts w:hint="eastAsia" w:ascii="CESI宋体-GB2312" w:hAnsi="CESI宋体-GB2312" w:eastAsia="CESI宋体-GB2312" w:cs="CESI宋体-GB2312"/>
                <w:lang w:val="en-US" w:eastAsia="zh-CN"/>
              </w:rPr>
              <w:t>30</w:t>
            </w:r>
            <w:r>
              <w:rPr>
                <w:rFonts w:hint="eastAsia" w:ascii="CESI宋体-GB2312" w:hAnsi="CESI宋体-GB2312" w:eastAsia="CESI宋体-GB2312" w:cs="CESI宋体-GB2312"/>
              </w:rPr>
              <w:t>%。</w:t>
            </w:r>
          </w:p>
        </w:tc>
      </w:tr>
    </w:tbl>
    <w:p>
      <w:pPr>
        <w:ind w:firstLine="3694" w:firstLineChars="1150"/>
        <w:rPr>
          <w:rFonts w:ascii="宋体" w:hAnsi="宋体"/>
          <w:b/>
          <w:bCs/>
          <w:sz w:val="32"/>
          <w:szCs w:val="32"/>
        </w:rPr>
      </w:pPr>
    </w:p>
    <w:p>
      <w:pPr>
        <w:ind w:firstLine="3694" w:firstLineChars="1150"/>
        <w:rPr>
          <w:rFonts w:ascii="宋体" w:hAnsi="宋体"/>
          <w:b/>
          <w:bCs/>
          <w:sz w:val="32"/>
          <w:szCs w:val="32"/>
        </w:rPr>
      </w:pPr>
    </w:p>
    <w:p>
      <w:pPr>
        <w:ind w:firstLine="3694" w:firstLineChars="1150"/>
        <w:rPr>
          <w:rFonts w:ascii="宋体" w:hAnsi="宋体"/>
          <w:b/>
          <w:bCs/>
          <w:sz w:val="32"/>
          <w:szCs w:val="32"/>
        </w:rPr>
      </w:pPr>
    </w:p>
    <w:p>
      <w:pPr>
        <w:ind w:firstLine="3694" w:firstLineChars="1150"/>
        <w:rPr>
          <w:rFonts w:ascii="宋体" w:hAnsi="宋体"/>
          <w:b/>
          <w:bCs/>
          <w:sz w:val="32"/>
          <w:szCs w:val="32"/>
        </w:rPr>
      </w:pPr>
    </w:p>
    <w:p>
      <w:pPr>
        <w:pStyle w:val="2"/>
      </w:pPr>
    </w:p>
    <w:p>
      <w:pPr>
        <w:pStyle w:val="2"/>
      </w:pPr>
    </w:p>
    <w:p>
      <w:pPr>
        <w:pStyle w:val="2"/>
      </w:pPr>
    </w:p>
    <w:p>
      <w:pPr>
        <w:pStyle w:val="2"/>
      </w:pPr>
    </w:p>
    <w:p>
      <w:pPr>
        <w:pStyle w:val="2"/>
      </w:pPr>
    </w:p>
    <w:p>
      <w:pPr>
        <w:ind w:firstLine="3694" w:firstLineChars="1150"/>
        <w:rPr>
          <w:rFonts w:ascii="宋体" w:hAnsi="宋体"/>
          <w:b/>
          <w:bCs/>
          <w:sz w:val="32"/>
          <w:szCs w:val="32"/>
        </w:rPr>
      </w:pPr>
      <w:r>
        <w:rPr>
          <w:rFonts w:hint="eastAsia" w:ascii="宋体" w:hAnsi="宋体"/>
          <w:b/>
          <w:bCs/>
          <w:sz w:val="32"/>
          <w:szCs w:val="32"/>
        </w:rPr>
        <w:t>评分方法</w:t>
      </w:r>
    </w:p>
    <w:tbl>
      <w:tblPr>
        <w:tblStyle w:val="8"/>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50"/>
        <w:gridCol w:w="1267"/>
        <w:gridCol w:w="567"/>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50" w:type="dxa"/>
            <w:vAlign w:val="center"/>
          </w:tcPr>
          <w:p>
            <w:pPr>
              <w:spacing w:line="400" w:lineRule="exact"/>
              <w:jc w:val="center"/>
              <w:rPr>
                <w:rFonts w:ascii="CESI宋体-GB2312" w:hAnsi="CESI宋体-GB2312" w:eastAsia="CESI宋体-GB2312" w:cs="CESI宋体-GB2312"/>
                <w:kern w:val="0"/>
                <w:szCs w:val="21"/>
                <w:lang w:val="zh-CN"/>
              </w:rPr>
            </w:pPr>
            <w:r>
              <w:rPr>
                <w:rFonts w:hint="eastAsia" w:ascii="CESI宋体-GB2312" w:hAnsi="CESI宋体-GB2312" w:eastAsia="CESI宋体-GB2312" w:cs="CESI宋体-GB2312"/>
                <w:kern w:val="0"/>
                <w:szCs w:val="21"/>
                <w:lang w:val="zh-CN"/>
              </w:rPr>
              <w:t>序号</w:t>
            </w:r>
          </w:p>
        </w:tc>
        <w:tc>
          <w:tcPr>
            <w:tcW w:w="1267" w:type="dxa"/>
            <w:vAlign w:val="center"/>
          </w:tcPr>
          <w:p>
            <w:pPr>
              <w:spacing w:line="400" w:lineRule="exact"/>
              <w:jc w:val="center"/>
              <w:rPr>
                <w:rFonts w:ascii="CESI宋体-GB2312" w:hAnsi="CESI宋体-GB2312" w:eastAsia="CESI宋体-GB2312" w:cs="CESI宋体-GB2312"/>
                <w:smallCaps/>
                <w:kern w:val="0"/>
                <w:szCs w:val="21"/>
              </w:rPr>
            </w:pPr>
            <w:r>
              <w:rPr>
                <w:rFonts w:hint="eastAsia" w:ascii="CESI宋体-GB2312" w:hAnsi="CESI宋体-GB2312" w:eastAsia="CESI宋体-GB2312" w:cs="CESI宋体-GB2312"/>
                <w:smallCaps/>
                <w:kern w:val="0"/>
                <w:szCs w:val="21"/>
              </w:rPr>
              <w:t>评分因素</w:t>
            </w:r>
          </w:p>
        </w:tc>
        <w:tc>
          <w:tcPr>
            <w:tcW w:w="567"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分值</w:t>
            </w:r>
          </w:p>
        </w:tc>
        <w:tc>
          <w:tcPr>
            <w:tcW w:w="6750"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 w:hRule="atLeast"/>
          <w:jc w:val="center"/>
        </w:trPr>
        <w:tc>
          <w:tcPr>
            <w:tcW w:w="3384" w:type="dxa"/>
            <w:gridSpan w:val="3"/>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价格部分</w:t>
            </w:r>
          </w:p>
        </w:tc>
        <w:tc>
          <w:tcPr>
            <w:tcW w:w="6750" w:type="dxa"/>
            <w:vAlign w:val="center"/>
          </w:tcPr>
          <w:p>
            <w:pPr>
              <w:spacing w:line="400" w:lineRule="exact"/>
              <w:jc w:val="center"/>
              <w:rPr>
                <w:rFonts w:ascii="CESI宋体-GB2312" w:hAnsi="CESI宋体-GB2312" w:eastAsia="CESI宋体-GB2312" w:cs="CESI宋体-GB2312"/>
                <w:szCs w:val="21"/>
              </w:rPr>
            </w:pPr>
            <w:r>
              <w:rPr>
                <w:rFonts w:hint="eastAsia" w:ascii="CESI宋体-GB2312" w:hAnsi="CESI宋体-GB2312" w:eastAsia="CESI宋体-GB2312" w:cs="CESI宋体-GB2312"/>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 w:hRule="atLeast"/>
          <w:jc w:val="center"/>
        </w:trPr>
        <w:tc>
          <w:tcPr>
            <w:tcW w:w="1550"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1</w:t>
            </w:r>
          </w:p>
        </w:tc>
        <w:tc>
          <w:tcPr>
            <w:tcW w:w="1267"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报价</w:t>
            </w:r>
          </w:p>
        </w:tc>
        <w:tc>
          <w:tcPr>
            <w:tcW w:w="567"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20分</w:t>
            </w:r>
          </w:p>
        </w:tc>
        <w:tc>
          <w:tcPr>
            <w:tcW w:w="6750" w:type="dxa"/>
            <w:vAlign w:val="center"/>
          </w:tcPr>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（一）评分内容：</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针对应征文件中报价，进行价格部分评分。</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（二）评分依据：</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价格分应当采用低价优先法计算，即满足征集文件要求且价格最低的报价为评标基准价，其价格分为满分。其他申请服务商的价格分统一按照下列公式计算：</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报价得分=(评标基准价／报价)×分值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 w:hRule="atLeast"/>
          <w:jc w:val="center"/>
        </w:trPr>
        <w:tc>
          <w:tcPr>
            <w:tcW w:w="3384" w:type="dxa"/>
            <w:gridSpan w:val="3"/>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技术部分</w:t>
            </w:r>
          </w:p>
        </w:tc>
        <w:tc>
          <w:tcPr>
            <w:tcW w:w="6750"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szCs w:val="21"/>
              </w:rPr>
              <w:t>40</w:t>
            </w:r>
            <w:r>
              <w:rPr>
                <w:rFonts w:hint="eastAsia" w:ascii="CESI宋体-GB2312" w:hAnsi="CESI宋体-GB2312" w:eastAsia="CESI宋体-GB2312" w:cs="CESI宋体-GB2312"/>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50"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2</w:t>
            </w:r>
          </w:p>
        </w:tc>
        <w:tc>
          <w:tcPr>
            <w:tcW w:w="1267" w:type="dxa"/>
            <w:vAlign w:val="center"/>
          </w:tcPr>
          <w:p>
            <w:pPr>
              <w:spacing w:line="400" w:lineRule="exact"/>
              <w:jc w:val="center"/>
              <w:rPr>
                <w:rFonts w:ascii="CESI宋体-GB2312" w:hAnsi="CESI宋体-GB2312" w:eastAsia="CESI宋体-GB2312" w:cs="CESI宋体-GB2312"/>
                <w:smallCaps/>
                <w:kern w:val="0"/>
                <w:szCs w:val="21"/>
                <w:lang w:val="zh-CN"/>
              </w:rPr>
            </w:pPr>
            <w:r>
              <w:rPr>
                <w:rFonts w:hint="eastAsia" w:ascii="CESI宋体-GB2312" w:hAnsi="CESI宋体-GB2312" w:eastAsia="CESI宋体-GB2312" w:cs="CESI宋体-GB2312"/>
                <w:smallCaps/>
                <w:kern w:val="0"/>
                <w:szCs w:val="21"/>
                <w:lang w:eastAsia="zh-CN"/>
              </w:rPr>
              <w:t>产业用房</w:t>
            </w:r>
            <w:r>
              <w:rPr>
                <w:rFonts w:hint="eastAsia" w:ascii="CESI宋体-GB2312" w:hAnsi="CESI宋体-GB2312" w:eastAsia="CESI宋体-GB2312" w:cs="CESI宋体-GB2312"/>
                <w:smallCaps/>
                <w:kern w:val="0"/>
                <w:szCs w:val="21"/>
              </w:rPr>
              <w:t>运营服务管理</w:t>
            </w:r>
            <w:r>
              <w:rPr>
                <w:rFonts w:hint="eastAsia" w:ascii="CESI宋体-GB2312" w:hAnsi="CESI宋体-GB2312" w:eastAsia="CESI宋体-GB2312" w:cs="CESI宋体-GB2312"/>
                <w:smallCaps/>
                <w:kern w:val="0"/>
                <w:szCs w:val="21"/>
                <w:lang w:val="zh-CN"/>
              </w:rPr>
              <w:t>方案</w:t>
            </w:r>
          </w:p>
        </w:tc>
        <w:tc>
          <w:tcPr>
            <w:tcW w:w="567"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40分</w:t>
            </w:r>
          </w:p>
        </w:tc>
        <w:tc>
          <w:tcPr>
            <w:tcW w:w="6750" w:type="dxa"/>
            <w:vAlign w:val="center"/>
          </w:tcPr>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（一）评分内容：</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针对应征文件中产业空间日常运营工作，提供运营方案，内容包括：</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1.产业空间综合情况分析</w:t>
            </w:r>
          </w:p>
          <w:p>
            <w:pPr>
              <w:spacing w:line="400" w:lineRule="exact"/>
              <w:ind w:firstLine="420" w:firstLineChars="200"/>
              <w:rPr>
                <w:rFonts w:hint="eastAsia" w:ascii="CESI宋体-GB2312" w:hAnsi="CESI宋体-GB2312" w:eastAsia="CESI宋体-GB2312" w:cs="CESI宋体-GB2312"/>
              </w:rPr>
            </w:pPr>
            <w:r>
              <w:rPr>
                <w:rFonts w:ascii="CESI宋体-GB2312" w:hAnsi="CESI宋体-GB2312" w:eastAsia="CESI宋体-GB2312" w:cs="CESI宋体-GB2312"/>
              </w:rPr>
              <w:t>2</w:t>
            </w:r>
            <w:r>
              <w:rPr>
                <w:rFonts w:hint="eastAsia" w:ascii="CESI宋体-GB2312" w:hAnsi="CESI宋体-GB2312" w:eastAsia="CESI宋体-GB2312" w:cs="CESI宋体-GB2312"/>
              </w:rPr>
              <w:t>.企业入驻申请服务方案</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lang w:val="en-US" w:eastAsia="zh-CN"/>
              </w:rPr>
              <w:t>3.</w:t>
            </w:r>
            <w:r>
              <w:rPr>
                <w:rFonts w:hint="eastAsia" w:ascii="CESI宋体-GB2312" w:hAnsi="CESI宋体-GB2312" w:eastAsia="CESI宋体-GB2312" w:cs="CESI宋体-GB2312"/>
              </w:rPr>
              <w:t>产业用房日常管理工作方案</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lang w:val="en-US" w:eastAsia="zh-CN"/>
              </w:rPr>
              <w:t>4</w:t>
            </w:r>
            <w:r>
              <w:rPr>
                <w:rFonts w:hint="eastAsia" w:ascii="CESI宋体-GB2312" w:hAnsi="CESI宋体-GB2312" w:eastAsia="CESI宋体-GB2312" w:cs="CESI宋体-GB2312"/>
              </w:rPr>
              <w:t>.入驻企业动态跟踪管理方案</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rPr>
              <w:t>（二）评分依据：</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CESI宋体-GB2312" w:hAnsi="CESI宋体-GB2312" w:eastAsia="CESI宋体-GB2312" w:cs="CESI宋体-GB2312"/>
                <w:color w:val="auto"/>
                <w:highlight w:val="none"/>
                <w:lang w:eastAsia="zh-CN"/>
              </w:rPr>
            </w:pPr>
            <w:r>
              <w:rPr>
                <w:rFonts w:hint="eastAsia" w:ascii="CESI宋体-GB2312" w:hAnsi="CESI宋体-GB2312" w:eastAsia="CESI宋体-GB2312" w:cs="CESI宋体-GB2312"/>
                <w:color w:val="auto"/>
                <w:highlight w:val="none"/>
              </w:rPr>
              <w:t>针对以上内容，</w:t>
            </w:r>
            <w:r>
              <w:rPr>
                <w:rFonts w:hint="eastAsia" w:ascii="CESI宋体-GB2312" w:hAnsi="CESI宋体-GB2312" w:eastAsia="CESI宋体-GB2312" w:cs="CESI宋体-GB2312"/>
                <w:color w:val="auto"/>
                <w:highlight w:val="none"/>
                <w:lang w:eastAsia="zh-CN"/>
              </w:rPr>
              <w:t>响应一点得</w:t>
            </w:r>
            <w:r>
              <w:rPr>
                <w:rFonts w:hint="eastAsia" w:ascii="CESI宋体-GB2312" w:hAnsi="CESI宋体-GB2312" w:eastAsia="CESI宋体-GB2312" w:cs="CESI宋体-GB2312"/>
                <w:color w:val="auto"/>
                <w:highlight w:val="none"/>
                <w:lang w:val="en-US" w:eastAsia="zh-CN"/>
              </w:rPr>
              <w:t>5分，</w:t>
            </w:r>
            <w:r>
              <w:rPr>
                <w:rFonts w:hint="eastAsia" w:ascii="CESI宋体-GB2312" w:hAnsi="CESI宋体-GB2312" w:eastAsia="CESI宋体-GB2312" w:cs="CESI宋体-GB2312"/>
                <w:color w:val="auto"/>
                <w:highlight w:val="none"/>
              </w:rPr>
              <w:t>如果全部</w:t>
            </w:r>
            <w:r>
              <w:rPr>
                <w:rFonts w:hint="eastAsia" w:ascii="CESI宋体-GB2312" w:hAnsi="CESI宋体-GB2312" w:eastAsia="CESI宋体-GB2312" w:cs="CESI宋体-GB2312"/>
                <w:color w:val="auto"/>
                <w:highlight w:val="none"/>
                <w:lang w:eastAsia="zh-CN"/>
              </w:rPr>
              <w:t>响应</w:t>
            </w:r>
            <w:r>
              <w:rPr>
                <w:rFonts w:hint="eastAsia" w:ascii="CESI宋体-GB2312" w:hAnsi="CESI宋体-GB2312" w:eastAsia="CESI宋体-GB2312" w:cs="CESI宋体-GB2312"/>
                <w:color w:val="auto"/>
                <w:highlight w:val="none"/>
              </w:rPr>
              <w:t>得</w:t>
            </w:r>
            <w:r>
              <w:rPr>
                <w:rFonts w:hint="eastAsia" w:ascii="CESI宋体-GB2312" w:hAnsi="CESI宋体-GB2312" w:eastAsia="CESI宋体-GB2312" w:cs="CESI宋体-GB2312"/>
                <w:color w:val="auto"/>
                <w:highlight w:val="none"/>
                <w:lang w:val="en-US" w:eastAsia="zh-CN"/>
              </w:rPr>
              <w:t>20分</w:t>
            </w:r>
            <w:r>
              <w:rPr>
                <w:rFonts w:hint="eastAsia" w:ascii="CESI宋体-GB2312" w:hAnsi="CESI宋体-GB2312" w:eastAsia="CESI宋体-GB2312" w:cs="CESI宋体-GB2312"/>
                <w:color w:val="auto"/>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CESI宋体-GB2312" w:hAnsi="CESI宋体-GB2312" w:eastAsia="CESI宋体-GB2312" w:cs="CESI宋体-GB2312"/>
                <w:color w:val="auto"/>
                <w:highlight w:val="none"/>
              </w:rPr>
            </w:pPr>
            <w:r>
              <w:rPr>
                <w:rFonts w:hint="eastAsia" w:ascii="CESI宋体-GB2312" w:hAnsi="CESI宋体-GB2312" w:eastAsia="CESI宋体-GB2312" w:cs="CESI宋体-GB2312"/>
                <w:color w:val="auto"/>
                <w:highlight w:val="none"/>
                <w:lang w:val="en-US" w:eastAsia="zh-CN"/>
              </w:rPr>
              <w:t>（三）</w:t>
            </w:r>
            <w:r>
              <w:rPr>
                <w:rFonts w:hint="eastAsia" w:ascii="CESI宋体-GB2312" w:hAnsi="CESI宋体-GB2312" w:eastAsia="CESI宋体-GB2312" w:cs="CESI宋体-GB2312"/>
                <w:color w:val="auto"/>
                <w:highlight w:val="none"/>
              </w:rPr>
              <w:t>在此基础上，评委根据</w:t>
            </w:r>
            <w:r>
              <w:rPr>
                <w:rFonts w:hint="eastAsia" w:ascii="CESI宋体-GB2312" w:hAnsi="CESI宋体-GB2312" w:eastAsia="CESI宋体-GB2312" w:cs="CESI宋体-GB2312"/>
                <w:color w:val="auto"/>
                <w:highlight w:val="none"/>
                <w:lang w:val="en"/>
              </w:rPr>
              <w:t>申请服务商</w:t>
            </w:r>
            <w:r>
              <w:rPr>
                <w:rFonts w:hint="eastAsia" w:ascii="CESI宋体-GB2312" w:hAnsi="CESI宋体-GB2312" w:eastAsia="CESI宋体-GB2312" w:cs="CESI宋体-GB2312"/>
                <w:color w:val="auto"/>
                <w:highlight w:val="none"/>
              </w:rPr>
              <w:t>的具体响应内容按照量化的评审因素指标进一步评审：</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CESI宋体-GB2312" w:hAnsi="CESI宋体-GB2312" w:eastAsia="CESI宋体-GB2312" w:cs="CESI宋体-GB2312"/>
                <w:color w:val="auto"/>
                <w:highlight w:val="none"/>
                <w:lang w:eastAsia="zh-CN"/>
              </w:rPr>
            </w:pPr>
            <w:r>
              <w:rPr>
                <w:rFonts w:hint="eastAsia" w:ascii="CESI宋体-GB2312" w:hAnsi="CESI宋体-GB2312" w:eastAsia="CESI宋体-GB2312" w:cs="CESI宋体-GB2312"/>
                <w:color w:val="auto"/>
                <w:highlight w:val="none"/>
                <w:lang w:eastAsia="zh-CN"/>
              </w:rPr>
              <w:t>①评价为优（内容完善、科学，团队配置、服务方案可行的）的，加</w:t>
            </w:r>
            <w:r>
              <w:rPr>
                <w:rFonts w:hint="eastAsia" w:ascii="CESI宋体-GB2312" w:hAnsi="CESI宋体-GB2312" w:eastAsia="CESI宋体-GB2312" w:cs="CESI宋体-GB2312"/>
                <w:color w:val="auto"/>
                <w:highlight w:val="none"/>
                <w:lang w:val="en-US" w:eastAsia="zh-CN"/>
              </w:rPr>
              <w:t>15-20</w:t>
            </w:r>
            <w:r>
              <w:rPr>
                <w:rFonts w:hint="eastAsia" w:ascii="CESI宋体-GB2312" w:hAnsi="CESI宋体-GB2312" w:eastAsia="CESI宋体-GB2312" w:cs="CESI宋体-GB2312"/>
                <w:color w:val="auto"/>
                <w:highlight w:val="none"/>
              </w:rPr>
              <w:t>分</w:t>
            </w:r>
            <w:r>
              <w:rPr>
                <w:rFonts w:hint="eastAsia" w:ascii="CESI宋体-GB2312" w:hAnsi="CESI宋体-GB2312" w:eastAsia="CESI宋体-GB2312" w:cs="CESI宋体-GB2312"/>
                <w:color w:val="auto"/>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CESI宋体-GB2312" w:hAnsi="CESI宋体-GB2312" w:eastAsia="CESI宋体-GB2312" w:cs="CESI宋体-GB2312"/>
                <w:color w:val="auto"/>
                <w:highlight w:val="none"/>
                <w:lang w:eastAsia="zh-CN"/>
              </w:rPr>
            </w:pPr>
            <w:r>
              <w:rPr>
                <w:rFonts w:hint="eastAsia" w:ascii="CESI宋体-GB2312" w:hAnsi="CESI宋体-GB2312" w:eastAsia="CESI宋体-GB2312" w:cs="CESI宋体-GB2312"/>
                <w:color w:val="auto"/>
                <w:highlight w:val="none"/>
                <w:lang w:eastAsia="zh-CN"/>
              </w:rPr>
              <w:t>②评价为良（内容较为具体、团队配置、服务方案较好）的，加</w:t>
            </w:r>
            <w:r>
              <w:rPr>
                <w:rFonts w:hint="eastAsia" w:ascii="CESI宋体-GB2312" w:hAnsi="CESI宋体-GB2312" w:eastAsia="CESI宋体-GB2312" w:cs="CESI宋体-GB2312"/>
                <w:color w:val="auto"/>
                <w:highlight w:val="none"/>
                <w:lang w:val="en-US" w:eastAsia="zh-CN"/>
              </w:rPr>
              <w:t>10-14</w:t>
            </w:r>
            <w:r>
              <w:rPr>
                <w:rFonts w:hint="eastAsia" w:ascii="CESI宋体-GB2312" w:hAnsi="CESI宋体-GB2312" w:eastAsia="CESI宋体-GB2312" w:cs="CESI宋体-GB2312"/>
                <w:color w:val="auto"/>
                <w:highlight w:val="none"/>
              </w:rPr>
              <w:t>分</w:t>
            </w:r>
            <w:r>
              <w:rPr>
                <w:rFonts w:hint="eastAsia" w:ascii="CESI宋体-GB2312" w:hAnsi="CESI宋体-GB2312" w:eastAsia="CESI宋体-GB2312" w:cs="CESI宋体-GB2312"/>
                <w:color w:val="auto"/>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CESI宋体-GB2312" w:hAnsi="CESI宋体-GB2312" w:eastAsia="CESI宋体-GB2312" w:cs="CESI宋体-GB2312"/>
                <w:color w:val="auto"/>
                <w:highlight w:val="none"/>
                <w:lang w:eastAsia="zh-CN"/>
              </w:rPr>
            </w:pPr>
            <w:r>
              <w:rPr>
                <w:rFonts w:hint="eastAsia" w:ascii="CESI宋体-GB2312" w:hAnsi="CESI宋体-GB2312" w:eastAsia="CESI宋体-GB2312" w:cs="CESI宋体-GB2312"/>
                <w:color w:val="auto"/>
                <w:highlight w:val="none"/>
                <w:lang w:eastAsia="zh-CN"/>
              </w:rPr>
              <w:t>③评价为中（内容一般、团队配置笼统模糊，服务方案无实质性内容，操作性不佳）的，加</w:t>
            </w:r>
            <w:r>
              <w:rPr>
                <w:rFonts w:hint="eastAsia" w:ascii="CESI宋体-GB2312" w:hAnsi="CESI宋体-GB2312" w:eastAsia="CESI宋体-GB2312" w:cs="CESI宋体-GB2312"/>
                <w:color w:val="auto"/>
                <w:highlight w:val="none"/>
                <w:lang w:val="en-US" w:eastAsia="zh-CN"/>
              </w:rPr>
              <w:t>5-9</w:t>
            </w:r>
            <w:r>
              <w:rPr>
                <w:rFonts w:hint="eastAsia" w:ascii="CESI宋体-GB2312" w:hAnsi="CESI宋体-GB2312" w:eastAsia="CESI宋体-GB2312" w:cs="CESI宋体-GB2312"/>
                <w:color w:val="auto"/>
                <w:highlight w:val="none"/>
              </w:rPr>
              <w:t>分</w:t>
            </w:r>
            <w:r>
              <w:rPr>
                <w:rFonts w:hint="eastAsia" w:ascii="CESI宋体-GB2312" w:hAnsi="CESI宋体-GB2312" w:eastAsia="CESI宋体-GB2312" w:cs="CESI宋体-GB2312"/>
                <w:color w:val="auto"/>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CESI宋体-GB2312" w:hAnsi="CESI宋体-GB2312" w:eastAsia="CESI宋体-GB2312" w:cs="CESI宋体-GB2312"/>
                <w:color w:val="auto"/>
                <w:highlight w:val="none"/>
                <w:lang w:eastAsia="zh-CN"/>
              </w:rPr>
            </w:pPr>
            <w:r>
              <w:rPr>
                <w:rFonts w:hint="eastAsia" w:ascii="CESI宋体-GB2312" w:hAnsi="CESI宋体-GB2312" w:eastAsia="CESI宋体-GB2312" w:cs="CESI宋体-GB2312"/>
                <w:color w:val="auto"/>
                <w:highlight w:val="none"/>
                <w:lang w:eastAsia="zh-CN"/>
              </w:rPr>
              <w:t>④评价为差（内容不完善、不科学，方案不合理）的，加</w:t>
            </w:r>
            <w:r>
              <w:rPr>
                <w:rFonts w:hint="eastAsia" w:ascii="CESI宋体-GB2312" w:hAnsi="CESI宋体-GB2312" w:eastAsia="CESI宋体-GB2312" w:cs="CESI宋体-GB2312"/>
                <w:color w:val="auto"/>
                <w:highlight w:val="none"/>
                <w:lang w:val="en-US" w:eastAsia="zh-CN"/>
              </w:rPr>
              <w:t>1-4</w:t>
            </w:r>
            <w:r>
              <w:rPr>
                <w:rFonts w:hint="eastAsia" w:ascii="CESI宋体-GB2312" w:hAnsi="CESI宋体-GB2312" w:eastAsia="CESI宋体-GB2312" w:cs="CESI宋体-GB2312"/>
                <w:color w:val="auto"/>
                <w:highlight w:val="none"/>
                <w:lang w:eastAsia="zh-CN"/>
              </w:rPr>
              <w:t>分。</w:t>
            </w:r>
          </w:p>
          <w:p>
            <w:pPr>
              <w:spacing w:line="400" w:lineRule="exact"/>
              <w:ind w:firstLine="420" w:firstLineChars="200"/>
              <w:rPr>
                <w:rFonts w:ascii="CESI宋体-GB2312" w:hAnsi="CESI宋体-GB2312" w:eastAsia="CESI宋体-GB2312" w:cs="CESI宋体-GB2312"/>
              </w:rPr>
            </w:pPr>
            <w:r>
              <w:rPr>
                <w:rFonts w:hint="eastAsia" w:ascii="CESI宋体-GB2312" w:hAnsi="CESI宋体-GB2312" w:eastAsia="CESI宋体-GB2312" w:cs="CESI宋体-GB2312"/>
                <w:color w:val="auto"/>
                <w:highlight w:val="none"/>
                <w:lang w:eastAsia="zh-CN"/>
              </w:rPr>
              <w:t>本项目最高得</w:t>
            </w:r>
            <w:r>
              <w:rPr>
                <w:rFonts w:hint="eastAsia" w:ascii="CESI宋体-GB2312" w:hAnsi="CESI宋体-GB2312" w:eastAsia="CESI宋体-GB2312" w:cs="CESI宋体-GB2312"/>
                <w:color w:val="auto"/>
                <w:highlight w:val="none"/>
                <w:lang w:val="en-US" w:eastAsia="zh-CN"/>
              </w:rPr>
              <w:t>40分，</w:t>
            </w:r>
            <w:r>
              <w:rPr>
                <w:rFonts w:hint="eastAsia" w:ascii="CESI宋体-GB2312" w:hAnsi="CESI宋体-GB2312" w:eastAsia="CESI宋体-GB2312" w:cs="CESI宋体-GB2312"/>
                <w:color w:val="auto"/>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 w:hRule="atLeast"/>
          <w:jc w:val="center"/>
        </w:trPr>
        <w:tc>
          <w:tcPr>
            <w:tcW w:w="3384" w:type="dxa"/>
            <w:gridSpan w:val="3"/>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商务部分</w:t>
            </w:r>
          </w:p>
        </w:tc>
        <w:tc>
          <w:tcPr>
            <w:tcW w:w="6750" w:type="dxa"/>
            <w:vAlign w:val="center"/>
          </w:tcPr>
          <w:p>
            <w:pPr>
              <w:pStyle w:val="2"/>
              <w:spacing w:line="400" w:lineRule="exact"/>
              <w:jc w:val="center"/>
              <w:rPr>
                <w:rFonts w:ascii="CESI宋体-GB2312" w:hAnsi="CESI宋体-GB2312" w:eastAsia="CESI宋体-GB2312" w:cs="CESI宋体-GB2312"/>
              </w:rPr>
            </w:pPr>
            <w:r>
              <w:rPr>
                <w:rFonts w:hint="eastAsia" w:ascii="CESI宋体-GB2312" w:hAnsi="CESI宋体-GB2312" w:eastAsia="CESI宋体-GB2312" w:cs="CESI宋体-GB2312"/>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atLeast"/>
          <w:jc w:val="center"/>
        </w:trPr>
        <w:tc>
          <w:tcPr>
            <w:tcW w:w="1550"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3</w:t>
            </w:r>
          </w:p>
        </w:tc>
        <w:tc>
          <w:tcPr>
            <w:tcW w:w="1267" w:type="dxa"/>
            <w:vAlign w:val="center"/>
          </w:tcPr>
          <w:p>
            <w:pPr>
              <w:spacing w:line="400" w:lineRule="exact"/>
              <w:jc w:val="center"/>
              <w:rPr>
                <w:rFonts w:ascii="CESI宋体-GB2312" w:hAnsi="CESI宋体-GB2312" w:eastAsia="CESI宋体-GB2312" w:cs="CESI宋体-GB2312"/>
                <w:smallCaps/>
                <w:kern w:val="0"/>
                <w:szCs w:val="21"/>
                <w:lang w:val="zh-CN"/>
              </w:rPr>
            </w:pPr>
            <w:r>
              <w:rPr>
                <w:rFonts w:hint="eastAsia" w:ascii="CESI宋体-GB2312" w:hAnsi="CESI宋体-GB2312" w:eastAsia="CESI宋体-GB2312" w:cs="CESI宋体-GB2312"/>
                <w:smallCaps/>
                <w:kern w:val="0"/>
                <w:szCs w:val="21"/>
                <w:lang w:val="zh-CN"/>
              </w:rPr>
              <w:t>同类业绩</w:t>
            </w:r>
          </w:p>
        </w:tc>
        <w:tc>
          <w:tcPr>
            <w:tcW w:w="567"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20分</w:t>
            </w:r>
          </w:p>
        </w:tc>
        <w:tc>
          <w:tcPr>
            <w:tcW w:w="6750" w:type="dxa"/>
            <w:vAlign w:val="center"/>
          </w:tcPr>
          <w:p>
            <w:pPr>
              <w:pStyle w:val="2"/>
              <w:spacing w:line="400" w:lineRule="exact"/>
              <w:ind w:firstLine="420" w:firstLineChars="200"/>
              <w:rPr>
                <w:rFonts w:ascii="CESI宋体-GB2312" w:hAnsi="CESI宋体-GB2312" w:eastAsia="CESI宋体-GB2312" w:cs="CESI宋体-GB2312"/>
                <w:lang w:val="zh-CN"/>
              </w:rPr>
            </w:pPr>
            <w:r>
              <w:rPr>
                <w:rFonts w:hint="eastAsia" w:ascii="CESI宋体-GB2312" w:hAnsi="CESI宋体-GB2312" w:eastAsia="CESI宋体-GB2312" w:cs="CESI宋体-GB2312"/>
                <w:lang w:val="zh-CN"/>
              </w:rPr>
              <w:t>一、评分内容：</w:t>
            </w:r>
          </w:p>
          <w:p>
            <w:pPr>
              <w:pStyle w:val="2"/>
              <w:spacing w:line="400" w:lineRule="exact"/>
              <w:ind w:firstLine="420" w:firstLineChars="200"/>
              <w:rPr>
                <w:rFonts w:ascii="CESI宋体-GB2312" w:hAnsi="CESI宋体-GB2312" w:eastAsia="CESI宋体-GB2312" w:cs="CESI宋体-GB2312"/>
                <w:lang w:val="zh-CN"/>
              </w:rPr>
            </w:pPr>
            <w:r>
              <w:rPr>
                <w:rFonts w:hint="eastAsia" w:ascii="CESI宋体-GB2312" w:hAnsi="CESI宋体-GB2312" w:eastAsia="CESI宋体-GB2312" w:cs="CESI宋体-GB2312"/>
                <w:lang w:val="zh-CN"/>
              </w:rPr>
              <w:t>截至本项目应征截止之日，每提供1个政府、事业单位、国企或国资背景企业的产业用房或孵化器管理服务案例，得10分。本项目最高得20分，未提供的不得分。</w:t>
            </w:r>
          </w:p>
          <w:p>
            <w:pPr>
              <w:pStyle w:val="2"/>
              <w:spacing w:line="400" w:lineRule="exact"/>
              <w:ind w:firstLine="420" w:firstLineChars="200"/>
              <w:rPr>
                <w:rFonts w:ascii="CESI宋体-GB2312" w:hAnsi="CESI宋体-GB2312" w:eastAsia="CESI宋体-GB2312" w:cs="CESI宋体-GB2312"/>
                <w:lang w:val="zh-CN"/>
              </w:rPr>
            </w:pPr>
            <w:r>
              <w:rPr>
                <w:rFonts w:hint="eastAsia" w:ascii="CESI宋体-GB2312" w:hAnsi="CESI宋体-GB2312" w:eastAsia="CESI宋体-GB2312" w:cs="CESI宋体-GB2312"/>
                <w:lang w:val="zh-CN"/>
              </w:rPr>
              <w:t>二、评审依据：</w:t>
            </w:r>
          </w:p>
          <w:p>
            <w:pPr>
              <w:pStyle w:val="2"/>
              <w:spacing w:line="400" w:lineRule="exact"/>
              <w:ind w:firstLine="420" w:firstLineChars="200"/>
              <w:rPr>
                <w:rFonts w:ascii="CESI宋体-GB2312" w:hAnsi="CESI宋体-GB2312" w:eastAsia="CESI宋体-GB2312" w:cs="CESI宋体-GB2312"/>
                <w:lang w:val="zh-CN"/>
              </w:rPr>
            </w:pPr>
            <w:r>
              <w:rPr>
                <w:rFonts w:hint="eastAsia" w:ascii="CESI宋体-GB2312" w:hAnsi="CESI宋体-GB2312" w:eastAsia="CESI宋体-GB2312" w:cs="CESI宋体-GB2312"/>
                <w:lang w:val="en"/>
              </w:rPr>
              <w:t>申请服务商</w:t>
            </w:r>
            <w:r>
              <w:rPr>
                <w:rFonts w:hint="eastAsia" w:ascii="CESI宋体-GB2312" w:hAnsi="CESI宋体-GB2312" w:eastAsia="CESI宋体-GB2312" w:cs="CESI宋体-GB2312"/>
                <w:lang w:val="zh-CN"/>
              </w:rPr>
              <w:t>需在应征文件中提供政府、事业单位、国企或国资背景企业的</w:t>
            </w:r>
            <w:r>
              <w:rPr>
                <w:rFonts w:hint="eastAsia" w:ascii="CESI宋体-GB2312" w:hAnsi="CESI宋体-GB2312" w:eastAsia="CESI宋体-GB2312" w:cs="CESI宋体-GB2312"/>
              </w:rPr>
              <w:t>产业用房或孵化器</w:t>
            </w:r>
            <w:r>
              <w:rPr>
                <w:rFonts w:hint="eastAsia" w:ascii="CESI宋体-GB2312" w:hAnsi="CESI宋体-GB2312" w:eastAsia="CESI宋体-GB2312" w:cs="CESI宋体-GB2312"/>
                <w:lang w:eastAsia="zh-CN"/>
              </w:rPr>
              <w:t>的管理服务</w:t>
            </w:r>
            <w:r>
              <w:rPr>
                <w:rFonts w:hint="eastAsia" w:ascii="CESI宋体-GB2312" w:hAnsi="CESI宋体-GB2312" w:eastAsia="CESI宋体-GB2312" w:cs="CESI宋体-GB2312"/>
              </w:rPr>
              <w:t>证明材料，包括与相关</w:t>
            </w:r>
            <w:r>
              <w:rPr>
                <w:rFonts w:hint="eastAsia" w:ascii="CESI宋体-GB2312" w:hAnsi="CESI宋体-GB2312" w:eastAsia="CESI宋体-GB2312" w:cs="CESI宋体-GB2312"/>
                <w:lang w:val="zh-CN"/>
              </w:rPr>
              <w:t>政府、事业单位、国企或国资背景企业的签订的有效的租赁协议、服务协议或服务合同复印件并加盖公章，否则不得分。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atLeast"/>
          <w:jc w:val="center"/>
        </w:trPr>
        <w:tc>
          <w:tcPr>
            <w:tcW w:w="1550"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4</w:t>
            </w:r>
          </w:p>
        </w:tc>
        <w:tc>
          <w:tcPr>
            <w:tcW w:w="1267" w:type="dxa"/>
            <w:vAlign w:val="center"/>
          </w:tcPr>
          <w:p>
            <w:pPr>
              <w:spacing w:line="400" w:lineRule="exact"/>
              <w:jc w:val="center"/>
              <w:rPr>
                <w:rFonts w:ascii="CESI宋体-GB2312" w:hAnsi="CESI宋体-GB2312" w:eastAsia="CESI宋体-GB2312" w:cs="CESI宋体-GB2312"/>
                <w:bCs/>
                <w:szCs w:val="21"/>
              </w:rPr>
            </w:pPr>
            <w:r>
              <w:rPr>
                <w:rFonts w:hint="eastAsia" w:ascii="CESI宋体-GB2312" w:hAnsi="CESI宋体-GB2312" w:eastAsia="CESI宋体-GB2312" w:cs="CESI宋体-GB2312"/>
                <w:color w:val="000000"/>
                <w:szCs w:val="21"/>
              </w:rPr>
              <w:t>企业资质及荣誉情况</w:t>
            </w:r>
          </w:p>
        </w:tc>
        <w:tc>
          <w:tcPr>
            <w:tcW w:w="567"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20分</w:t>
            </w:r>
          </w:p>
        </w:tc>
        <w:tc>
          <w:tcPr>
            <w:tcW w:w="6750" w:type="dxa"/>
            <w:vAlign w:val="center"/>
          </w:tcPr>
          <w:p>
            <w:pPr>
              <w:pStyle w:val="2"/>
              <w:spacing w:line="400" w:lineRule="exact"/>
              <w:ind w:firstLine="420" w:firstLineChars="200"/>
              <w:rPr>
                <w:rFonts w:ascii="CESI宋体-GB2312" w:hAnsi="CESI宋体-GB2312" w:eastAsia="CESI宋体-GB2312" w:cs="CESI宋体-GB2312"/>
                <w:lang w:val="zh-CN"/>
              </w:rPr>
            </w:pPr>
            <w:r>
              <w:rPr>
                <w:rFonts w:hint="eastAsia" w:ascii="CESI宋体-GB2312" w:hAnsi="CESI宋体-GB2312" w:eastAsia="CESI宋体-GB2312" w:cs="CESI宋体-GB2312"/>
                <w:lang w:val="zh-CN"/>
              </w:rPr>
              <w:t>一、考</w:t>
            </w:r>
            <w:r>
              <w:rPr>
                <w:rFonts w:hint="eastAsia" w:ascii="CESI宋体-GB2312" w:hAnsi="CESI宋体-GB2312" w:eastAsia="CESI宋体-GB2312" w:cs="CESI宋体-GB2312"/>
                <w:lang w:val="en-US" w:eastAsia="zh-CN"/>
              </w:rPr>
              <w:t>查</w:t>
            </w:r>
            <w:r>
              <w:rPr>
                <w:rFonts w:hint="eastAsia" w:ascii="CESI宋体-GB2312" w:hAnsi="CESI宋体-GB2312" w:eastAsia="CESI宋体-GB2312" w:cs="CESI宋体-GB2312"/>
                <w:lang w:val="zh-CN"/>
              </w:rPr>
              <w:t xml:space="preserve">内容： </w:t>
            </w:r>
          </w:p>
          <w:p>
            <w:pPr>
              <w:pStyle w:val="2"/>
              <w:spacing w:line="400" w:lineRule="exact"/>
              <w:ind w:firstLine="420" w:firstLineChars="200"/>
              <w:rPr>
                <w:rFonts w:ascii="CESI宋体-GB2312" w:hAnsi="CESI宋体-GB2312" w:eastAsia="CESI宋体-GB2312" w:cs="CESI宋体-GB2312"/>
                <w:lang w:val="zh-CN"/>
              </w:rPr>
            </w:pPr>
            <w:r>
              <w:rPr>
                <w:rFonts w:hint="eastAsia" w:ascii="CESI宋体-GB2312" w:hAnsi="CESI宋体-GB2312" w:eastAsia="CESI宋体-GB2312" w:cs="CESI宋体-GB2312"/>
                <w:lang w:val="zh-CN"/>
              </w:rPr>
              <w:t>1</w:t>
            </w:r>
            <w:r>
              <w:rPr>
                <w:rFonts w:hint="eastAsia" w:ascii="CESI宋体-GB2312" w:hAnsi="CESI宋体-GB2312" w:eastAsia="CESI宋体-GB2312" w:cs="CESI宋体-GB2312"/>
              </w:rPr>
              <w:t>.</w:t>
            </w:r>
            <w:r>
              <w:rPr>
                <w:rFonts w:hint="eastAsia" w:ascii="CESI宋体-GB2312" w:hAnsi="CESI宋体-GB2312" w:eastAsia="CESI宋体-GB2312" w:cs="CESI宋体-GB2312"/>
                <w:lang w:val="en"/>
              </w:rPr>
              <w:t>申请服务商</w:t>
            </w:r>
            <w:r>
              <w:rPr>
                <w:rFonts w:hint="eastAsia" w:ascii="CESI宋体-GB2312" w:hAnsi="CESI宋体-GB2312" w:eastAsia="CESI宋体-GB2312" w:cs="CESI宋体-GB2312"/>
                <w:lang w:val="zh-CN"/>
              </w:rPr>
              <w:t>获得国家级</w:t>
            </w:r>
            <w:r>
              <w:rPr>
                <w:rFonts w:hint="eastAsia" w:ascii="CESI宋体-GB2312" w:hAnsi="CESI宋体-GB2312" w:eastAsia="CESI宋体-GB2312" w:cs="CESI宋体-GB2312"/>
              </w:rPr>
              <w:t>产业园区、孵化器或众创空间资质认定，</w:t>
            </w:r>
            <w:r>
              <w:rPr>
                <w:rFonts w:hint="eastAsia" w:ascii="CESI宋体-GB2312" w:hAnsi="CESI宋体-GB2312" w:eastAsia="CESI宋体-GB2312" w:cs="CESI宋体-GB2312"/>
                <w:lang w:val="zh-CN"/>
              </w:rPr>
              <w:t>得</w:t>
            </w:r>
            <w:r>
              <w:rPr>
                <w:rFonts w:ascii="CESI宋体-GB2312" w:hAnsi="CESI宋体-GB2312" w:eastAsia="CESI宋体-GB2312" w:cs="CESI宋体-GB2312"/>
              </w:rPr>
              <w:t>2</w:t>
            </w:r>
            <w:r>
              <w:rPr>
                <w:rFonts w:hint="eastAsia" w:ascii="CESI宋体-GB2312" w:hAnsi="CESI宋体-GB2312" w:eastAsia="CESI宋体-GB2312" w:cs="CESI宋体-GB2312"/>
              </w:rPr>
              <w:t>0</w:t>
            </w:r>
            <w:r>
              <w:rPr>
                <w:rFonts w:hint="eastAsia" w:ascii="CESI宋体-GB2312" w:hAnsi="CESI宋体-GB2312" w:eastAsia="CESI宋体-GB2312" w:cs="CESI宋体-GB2312"/>
                <w:lang w:val="zh-CN"/>
              </w:rPr>
              <w:t>分；</w:t>
            </w:r>
            <w:bookmarkStart w:id="0" w:name="_GoBack"/>
            <w:bookmarkEnd w:id="0"/>
          </w:p>
          <w:p>
            <w:pPr>
              <w:pStyle w:val="2"/>
              <w:spacing w:line="400" w:lineRule="exact"/>
              <w:ind w:firstLine="420" w:firstLineChars="200"/>
              <w:rPr>
                <w:rFonts w:ascii="CESI宋体-GB2312" w:hAnsi="CESI宋体-GB2312" w:eastAsia="CESI宋体-GB2312" w:cs="CESI宋体-GB2312"/>
                <w:lang w:val="zh-CN"/>
              </w:rPr>
            </w:pPr>
            <w:r>
              <w:rPr>
                <w:rFonts w:ascii="CESI宋体-GB2312" w:hAnsi="CESI宋体-GB2312" w:eastAsia="CESI宋体-GB2312" w:cs="CESI宋体-GB2312"/>
                <w:lang w:val="zh-CN"/>
              </w:rPr>
              <w:t>2</w:t>
            </w:r>
            <w:r>
              <w:rPr>
                <w:rFonts w:hint="eastAsia" w:ascii="CESI宋体-GB2312" w:hAnsi="CESI宋体-GB2312" w:eastAsia="CESI宋体-GB2312" w:cs="CESI宋体-GB2312"/>
              </w:rPr>
              <w:t>.</w:t>
            </w:r>
            <w:r>
              <w:rPr>
                <w:rFonts w:hint="eastAsia" w:ascii="CESI宋体-GB2312" w:hAnsi="CESI宋体-GB2312" w:eastAsia="CESI宋体-GB2312" w:cs="CESI宋体-GB2312"/>
                <w:lang w:val="en"/>
              </w:rPr>
              <w:t>申请服务商</w:t>
            </w:r>
            <w:r>
              <w:rPr>
                <w:rFonts w:hint="eastAsia" w:ascii="CESI宋体-GB2312" w:hAnsi="CESI宋体-GB2312" w:eastAsia="CESI宋体-GB2312" w:cs="CESI宋体-GB2312"/>
                <w:lang w:val="zh-CN"/>
              </w:rPr>
              <w:t>获得省、市级</w:t>
            </w:r>
            <w:r>
              <w:rPr>
                <w:rFonts w:hint="eastAsia" w:ascii="CESI宋体-GB2312" w:hAnsi="CESI宋体-GB2312" w:eastAsia="CESI宋体-GB2312" w:cs="CESI宋体-GB2312"/>
              </w:rPr>
              <w:t>产业园区、孵化器或众创空间资质认定，</w:t>
            </w:r>
            <w:r>
              <w:rPr>
                <w:rFonts w:hint="eastAsia" w:ascii="CESI宋体-GB2312" w:hAnsi="CESI宋体-GB2312" w:eastAsia="CESI宋体-GB2312" w:cs="CESI宋体-GB2312"/>
                <w:lang w:val="zh-CN"/>
              </w:rPr>
              <w:t>得</w:t>
            </w:r>
            <w:r>
              <w:rPr>
                <w:rFonts w:ascii="CESI宋体-GB2312" w:hAnsi="CESI宋体-GB2312" w:eastAsia="CESI宋体-GB2312" w:cs="CESI宋体-GB2312"/>
              </w:rPr>
              <w:t>15</w:t>
            </w:r>
            <w:r>
              <w:rPr>
                <w:rFonts w:hint="eastAsia" w:ascii="CESI宋体-GB2312" w:hAnsi="CESI宋体-GB2312" w:eastAsia="CESI宋体-GB2312" w:cs="CESI宋体-GB2312"/>
                <w:lang w:val="zh-CN"/>
              </w:rPr>
              <w:t>分；</w:t>
            </w:r>
          </w:p>
          <w:p>
            <w:pPr>
              <w:pStyle w:val="2"/>
              <w:spacing w:line="400" w:lineRule="exact"/>
              <w:ind w:firstLine="420" w:firstLineChars="200"/>
              <w:rPr>
                <w:rFonts w:ascii="CESI宋体-GB2312" w:hAnsi="CESI宋体-GB2312" w:eastAsia="CESI宋体-GB2312" w:cs="CESI宋体-GB2312"/>
                <w:lang w:val="zh-CN"/>
              </w:rPr>
            </w:pPr>
            <w:r>
              <w:rPr>
                <w:rFonts w:ascii="CESI宋体-GB2312" w:hAnsi="CESI宋体-GB2312" w:eastAsia="CESI宋体-GB2312" w:cs="CESI宋体-GB2312"/>
                <w:lang w:val="zh-CN"/>
              </w:rPr>
              <w:t>3</w:t>
            </w:r>
            <w:r>
              <w:rPr>
                <w:rFonts w:hint="eastAsia" w:ascii="CESI宋体-GB2312" w:hAnsi="CESI宋体-GB2312" w:eastAsia="CESI宋体-GB2312" w:cs="CESI宋体-GB2312"/>
              </w:rPr>
              <w:t>.</w:t>
            </w:r>
            <w:r>
              <w:rPr>
                <w:rFonts w:hint="eastAsia" w:ascii="CESI宋体-GB2312" w:hAnsi="CESI宋体-GB2312" w:eastAsia="CESI宋体-GB2312" w:cs="CESI宋体-GB2312"/>
                <w:lang w:val="en"/>
              </w:rPr>
              <w:t>申请服务商</w:t>
            </w:r>
            <w:r>
              <w:rPr>
                <w:rFonts w:hint="eastAsia" w:ascii="CESI宋体-GB2312" w:hAnsi="CESI宋体-GB2312" w:eastAsia="CESI宋体-GB2312" w:cs="CESI宋体-GB2312"/>
                <w:lang w:val="zh-CN"/>
              </w:rPr>
              <w:t>获得区级</w:t>
            </w:r>
            <w:r>
              <w:rPr>
                <w:rFonts w:hint="eastAsia" w:ascii="CESI宋体-GB2312" w:hAnsi="CESI宋体-GB2312" w:eastAsia="CESI宋体-GB2312" w:cs="CESI宋体-GB2312"/>
              </w:rPr>
              <w:t>产业园区、孵化器或众创空间服务荣誉或称号，</w:t>
            </w:r>
            <w:r>
              <w:rPr>
                <w:rFonts w:hint="eastAsia" w:ascii="CESI宋体-GB2312" w:hAnsi="CESI宋体-GB2312" w:eastAsia="CESI宋体-GB2312" w:cs="CESI宋体-GB2312"/>
                <w:lang w:val="zh-CN"/>
              </w:rPr>
              <w:t>得</w:t>
            </w:r>
            <w:r>
              <w:rPr>
                <w:rFonts w:hint="eastAsia" w:ascii="CESI宋体-GB2312" w:hAnsi="CESI宋体-GB2312" w:eastAsia="CESI宋体-GB2312" w:cs="CESI宋体-GB2312"/>
              </w:rPr>
              <w:t>10</w:t>
            </w:r>
            <w:r>
              <w:rPr>
                <w:rFonts w:hint="eastAsia" w:ascii="CESI宋体-GB2312" w:hAnsi="CESI宋体-GB2312" w:eastAsia="CESI宋体-GB2312" w:cs="CESI宋体-GB2312"/>
                <w:lang w:val="zh-CN"/>
              </w:rPr>
              <w:t>分；</w:t>
            </w:r>
          </w:p>
          <w:p>
            <w:pPr>
              <w:pStyle w:val="2"/>
              <w:spacing w:line="400" w:lineRule="exact"/>
              <w:ind w:firstLine="420" w:firstLineChars="200"/>
              <w:rPr>
                <w:rFonts w:ascii="CESI宋体-GB2312" w:hAnsi="CESI宋体-GB2312" w:eastAsia="CESI宋体-GB2312" w:cs="CESI宋体-GB2312"/>
                <w:lang w:val="zh-CN"/>
              </w:rPr>
            </w:pPr>
            <w:r>
              <w:rPr>
                <w:rFonts w:hint="eastAsia" w:ascii="CESI宋体-GB2312" w:hAnsi="CESI宋体-GB2312" w:eastAsia="CESI宋体-GB2312" w:cs="CESI宋体-GB2312"/>
                <w:lang w:val="zh-CN"/>
              </w:rPr>
              <w:t>以上三项得分不重复计算</w:t>
            </w:r>
            <w:r>
              <w:rPr>
                <w:rFonts w:hint="eastAsia" w:ascii="CESI宋体-GB2312" w:hAnsi="CESI宋体-GB2312" w:eastAsia="CESI宋体-GB2312" w:cs="CESI宋体-GB2312"/>
                <w:lang w:val="en-US" w:eastAsia="zh-CN"/>
              </w:rPr>
              <w:t>，以最高得分为本项得分</w:t>
            </w:r>
            <w:r>
              <w:rPr>
                <w:rFonts w:hint="eastAsia" w:ascii="CESI宋体-GB2312" w:hAnsi="CESI宋体-GB2312" w:eastAsia="CESI宋体-GB2312" w:cs="CESI宋体-GB2312"/>
                <w:lang w:val="zh-CN"/>
              </w:rPr>
              <w:t>，无上述相关资质不得分。</w:t>
            </w:r>
          </w:p>
          <w:p>
            <w:pPr>
              <w:pStyle w:val="2"/>
              <w:spacing w:line="400" w:lineRule="exact"/>
              <w:ind w:firstLine="420" w:firstLineChars="200"/>
              <w:rPr>
                <w:rFonts w:ascii="CESI宋体-GB2312" w:hAnsi="CESI宋体-GB2312" w:eastAsia="CESI宋体-GB2312" w:cs="CESI宋体-GB2312"/>
                <w:lang w:val="zh-CN"/>
              </w:rPr>
            </w:pPr>
            <w:r>
              <w:rPr>
                <w:rFonts w:hint="eastAsia" w:ascii="CESI宋体-GB2312" w:hAnsi="CESI宋体-GB2312" w:eastAsia="CESI宋体-GB2312" w:cs="CESI宋体-GB2312"/>
                <w:lang w:val="zh-CN"/>
              </w:rPr>
              <w:t>二、证明文件：</w:t>
            </w:r>
          </w:p>
          <w:p>
            <w:pPr>
              <w:pStyle w:val="2"/>
              <w:spacing w:line="400" w:lineRule="exact"/>
              <w:ind w:firstLine="420" w:firstLineChars="200"/>
              <w:rPr>
                <w:rFonts w:ascii="CESI宋体-GB2312" w:hAnsi="CESI宋体-GB2312" w:eastAsia="CESI宋体-GB2312" w:cs="CESI宋体-GB2312"/>
                <w:lang w:val="zh-CN"/>
              </w:rPr>
            </w:pPr>
            <w:r>
              <w:rPr>
                <w:rFonts w:hint="eastAsia" w:ascii="CESI宋体-GB2312" w:hAnsi="CESI宋体-GB2312" w:eastAsia="CESI宋体-GB2312" w:cs="CESI宋体-GB2312"/>
                <w:lang w:val="en"/>
              </w:rPr>
              <w:t>申请服务商根据对应条件分别</w:t>
            </w:r>
            <w:r>
              <w:rPr>
                <w:rFonts w:hint="eastAsia" w:ascii="CESI宋体-GB2312" w:hAnsi="CESI宋体-GB2312" w:eastAsia="CESI宋体-GB2312" w:cs="CESI宋体-GB2312"/>
                <w:lang w:val="zh-CN"/>
              </w:rPr>
              <w:t>提供</w:t>
            </w:r>
            <w:r>
              <w:rPr>
                <w:rFonts w:hint="eastAsia" w:ascii="CESI宋体-GB2312" w:hAnsi="CESI宋体-GB2312" w:eastAsia="CESI宋体-GB2312" w:cs="CESI宋体-GB2312"/>
              </w:rPr>
              <w:t>资质认定</w:t>
            </w:r>
            <w:r>
              <w:rPr>
                <w:rFonts w:hint="eastAsia" w:ascii="CESI宋体-GB2312" w:hAnsi="CESI宋体-GB2312" w:eastAsia="CESI宋体-GB2312" w:cs="CESI宋体-GB2312"/>
                <w:lang w:val="zh-CN"/>
              </w:rPr>
              <w:t>证书复印件或政府官网公示截图。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1" w:hRule="atLeast"/>
          <w:jc w:val="center"/>
        </w:trPr>
        <w:tc>
          <w:tcPr>
            <w:tcW w:w="3384" w:type="dxa"/>
            <w:gridSpan w:val="3"/>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合计</w:t>
            </w:r>
          </w:p>
        </w:tc>
        <w:tc>
          <w:tcPr>
            <w:tcW w:w="6750"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100分</w:t>
            </w:r>
          </w:p>
        </w:tc>
      </w:tr>
    </w:tbl>
    <w:p>
      <w:pPr>
        <w:rPr>
          <w:rFonts w:hint="eastAsia" w:ascii="宋体" w:hAnsi="宋体" w:eastAsia="宋体"/>
          <w:b/>
          <w:bCs/>
          <w:sz w:val="24"/>
          <w:szCs w:val="32"/>
          <w:lang w:eastAsia="zh-CN"/>
        </w:rPr>
      </w:pPr>
      <w:r>
        <w:rPr>
          <w:rFonts w:hint="eastAsia" w:ascii="宋体" w:hAnsi="宋体"/>
          <w:b/>
          <w:bCs/>
          <w:sz w:val="24"/>
          <w:szCs w:val="32"/>
          <w:lang w:eastAsia="zh-CN"/>
        </w:rPr>
        <w:t>备注：</w:t>
      </w:r>
      <w:r>
        <w:rPr>
          <w:rFonts w:hint="eastAsia" w:ascii="CESI宋体-GB2312" w:hAnsi="CESI宋体-GB2312" w:eastAsia="CESI宋体-GB2312" w:cs="CESI宋体-GB2312"/>
          <w:lang w:val="zh-CN"/>
        </w:rPr>
        <w:t>以上证明文件未按要求提供或提供的不清晰导致评分人员无法判断的，不得分。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F6109"/>
    <w:rsid w:val="000F6109"/>
    <w:rsid w:val="001D5179"/>
    <w:rsid w:val="0022444F"/>
    <w:rsid w:val="00234C31"/>
    <w:rsid w:val="00492BD6"/>
    <w:rsid w:val="007308EE"/>
    <w:rsid w:val="0079141C"/>
    <w:rsid w:val="009B3711"/>
    <w:rsid w:val="00BB2B13"/>
    <w:rsid w:val="00C463F5"/>
    <w:rsid w:val="00D622A2"/>
    <w:rsid w:val="00DF4C1D"/>
    <w:rsid w:val="0B4079D2"/>
    <w:rsid w:val="0BAB1DF9"/>
    <w:rsid w:val="114F6B9D"/>
    <w:rsid w:val="1EF41837"/>
    <w:rsid w:val="23B426B1"/>
    <w:rsid w:val="27452914"/>
    <w:rsid w:val="2E2767AB"/>
    <w:rsid w:val="2F736739"/>
    <w:rsid w:val="2F901313"/>
    <w:rsid w:val="3C495460"/>
    <w:rsid w:val="3EFF4CA5"/>
    <w:rsid w:val="3FD64BD5"/>
    <w:rsid w:val="3FF5449D"/>
    <w:rsid w:val="427C6FDA"/>
    <w:rsid w:val="490B363C"/>
    <w:rsid w:val="4F771313"/>
    <w:rsid w:val="503D1113"/>
    <w:rsid w:val="508B1244"/>
    <w:rsid w:val="564D5E73"/>
    <w:rsid w:val="56D87DE7"/>
    <w:rsid w:val="57716C49"/>
    <w:rsid w:val="578F235E"/>
    <w:rsid w:val="5BD3A293"/>
    <w:rsid w:val="5C3D78CD"/>
    <w:rsid w:val="5F568E7E"/>
    <w:rsid w:val="5F5FDE4E"/>
    <w:rsid w:val="5FDF9FB6"/>
    <w:rsid w:val="63656631"/>
    <w:rsid w:val="69BFF542"/>
    <w:rsid w:val="6AFB4107"/>
    <w:rsid w:val="6DAE4D8C"/>
    <w:rsid w:val="6FBD3A5D"/>
    <w:rsid w:val="71CB1DC4"/>
    <w:rsid w:val="7245401F"/>
    <w:rsid w:val="749474F8"/>
    <w:rsid w:val="77D8901D"/>
    <w:rsid w:val="78FFA277"/>
    <w:rsid w:val="7A950589"/>
    <w:rsid w:val="7BBBE2FC"/>
    <w:rsid w:val="7BFF98D8"/>
    <w:rsid w:val="7CD70F73"/>
    <w:rsid w:val="7DDFE260"/>
    <w:rsid w:val="7EF68592"/>
    <w:rsid w:val="7EF7BB3D"/>
    <w:rsid w:val="7F3A7349"/>
    <w:rsid w:val="7F3F7D89"/>
    <w:rsid w:val="7F7FD27E"/>
    <w:rsid w:val="7FAF9F82"/>
    <w:rsid w:val="7FED86F6"/>
    <w:rsid w:val="7FFB7EA1"/>
    <w:rsid w:val="7FFDDE2F"/>
    <w:rsid w:val="8FBD113A"/>
    <w:rsid w:val="93FF3401"/>
    <w:rsid w:val="9E6F1AAD"/>
    <w:rsid w:val="9FB3BB3E"/>
    <w:rsid w:val="B7CB68C8"/>
    <w:rsid w:val="BEDD53F3"/>
    <w:rsid w:val="BFFE18EA"/>
    <w:rsid w:val="E5CF9A61"/>
    <w:rsid w:val="E7F5A8C1"/>
    <w:rsid w:val="E89D60FA"/>
    <w:rsid w:val="E9BA689C"/>
    <w:rsid w:val="EFEC99B9"/>
    <w:rsid w:val="F3AF9A69"/>
    <w:rsid w:val="FDBF55AA"/>
    <w:rsid w:val="FFBE4312"/>
    <w:rsid w:val="FFF34695"/>
    <w:rsid w:val="FFFF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99"/>
    <w:rPr>
      <w:rFonts w:ascii="Courier New" w:hAnsi="Courier New"/>
      <w:szCs w:val="20"/>
    </w:r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0">
    <w:name w:val="MSG_EN_FONT_STYLE_NAME_TEMPLATE_ROLE MSG_EN_FONT_STYLE_NAME_BY_ROLE_TEXT8"/>
    <w:basedOn w:val="1"/>
    <w:qFormat/>
    <w:uiPriority w:val="0"/>
    <w:pPr>
      <w:shd w:val="clear" w:color="auto" w:fill="FFFFFF"/>
      <w:spacing w:line="0" w:lineRule="atLeast"/>
      <w:ind w:hanging="100"/>
      <w:jc w:val="center"/>
    </w:pPr>
    <w:rPr>
      <w:rFonts w:ascii="宋体" w:hAnsi="宋体" w:cs="宋体"/>
      <w:sz w:val="20"/>
      <w:szCs w:val="20"/>
    </w:rPr>
  </w:style>
  <w:style w:type="paragraph" w:customStyle="1" w:styleId="11">
    <w:name w:val="表格居左内容"/>
    <w:qFormat/>
    <w:uiPriority w:val="0"/>
    <w:pPr>
      <w:adjustRightInd w:val="0"/>
      <w:snapToGrid w:val="0"/>
      <w:jc w:val="both"/>
    </w:pPr>
    <w:rPr>
      <w:rFonts w:ascii="宋体" w:hAnsi="宋体" w:eastAsia="宋体" w:cs="Times New Roman"/>
      <w:sz w:val="21"/>
      <w:szCs w:val="21"/>
      <w:lang w:val="en-US" w:eastAsia="zh-CN" w:bidi="ar-SA"/>
    </w:rPr>
  </w:style>
  <w:style w:type="character" w:customStyle="1" w:styleId="12">
    <w:name w:val="页眉 字符"/>
    <w:basedOn w:val="9"/>
    <w:link w:val="6"/>
    <w:qFormat/>
    <w:uiPriority w:val="0"/>
    <w:rPr>
      <w:rFonts w:ascii="Times New Roman" w:hAnsi="Times New Roman" w:eastAsia="宋体" w:cs="Times New Roman"/>
      <w:kern w:val="2"/>
      <w:sz w:val="18"/>
      <w:szCs w:val="18"/>
    </w:rPr>
  </w:style>
  <w:style w:type="character" w:customStyle="1" w:styleId="13">
    <w:name w:val="页脚 字符"/>
    <w:basedOn w:val="9"/>
    <w:link w:val="5"/>
    <w:qFormat/>
    <w:uiPriority w:val="0"/>
    <w:rPr>
      <w:rFonts w:ascii="Times New Roman" w:hAnsi="Times New Roman" w:eastAsia="宋体" w:cs="Times New Roman"/>
      <w:kern w:val="2"/>
      <w:sz w:val="18"/>
      <w:szCs w:val="18"/>
    </w:rPr>
  </w:style>
  <w:style w:type="paragraph" w:styleId="14">
    <w:name w:val="List Paragraph"/>
    <w:basedOn w:val="1"/>
    <w:qFormat/>
    <w:uiPriority w:val="99"/>
    <w:pPr>
      <w:ind w:firstLine="420" w:firstLineChars="200"/>
    </w:pPr>
  </w:style>
  <w:style w:type="character" w:customStyle="1" w:styleId="15">
    <w:name w:val="纯文本 字符"/>
    <w:basedOn w:val="9"/>
    <w:link w:val="2"/>
    <w:qFormat/>
    <w:uiPriority w:val="99"/>
    <w:rPr>
      <w:rFonts w:ascii="Courier New" w:hAnsi="Courier New"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410</Words>
  <Characters>2337</Characters>
  <Lines>19</Lines>
  <Paragraphs>5</Paragraphs>
  <TotalTime>6</TotalTime>
  <ScaleCrop>false</ScaleCrop>
  <LinksUpToDate>false</LinksUpToDate>
  <CharactersWithSpaces>2742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2022-12-18T11:24:00Z</dcterms:created>
  <dc:creator>hin</dc:creator>
  <cp:lastModifiedBy>kcjsjt</cp:lastModifiedBy>
  <dcterms:modified xsi:type="dcterms:W3CDTF">2023-02-28T14:21:41Z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5C1B82D0592543698BFE11F35E799841</vt:lpwstr>
  </property>
</Properties>
</file>