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黑体" w:hAnsi="黑体" w:eastAsia="黑体"/>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龙优</w:t>
      </w:r>
      <w:r>
        <w:rPr>
          <w:rFonts w:hint="eastAsia" w:ascii="仿宋_GB2312" w:hAnsi="仿宋_GB2312" w:eastAsia="仿宋_GB2312" w:cs="仿宋_GB2312"/>
          <w:color w:val="000000" w:themeColor="text1"/>
          <w:sz w:val="32"/>
          <w:szCs w:val="32"/>
          <w:highlight w:val="none"/>
          <w14:textFill>
            <w14:solidFill>
              <w14:schemeClr w14:val="tx1"/>
            </w14:solidFill>
          </w14:textFill>
        </w:rPr>
        <w:t>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w:t>
      </w:r>
      <w:r>
        <w:rPr>
          <w:rFonts w:hint="eastAsia" w:ascii="仿宋_GB2312" w:hAnsi="仿宋_GB2312" w:eastAsia="仿宋_GB2312" w:cs="仿宋_GB2312"/>
          <w:color w:val="000000" w:themeColor="text1"/>
          <w:sz w:val="32"/>
          <w:szCs w:val="32"/>
          <w:highlight w:val="none"/>
          <w14:textFill>
            <w14:solidFill>
              <w14:schemeClr w14:val="tx1"/>
            </w14:solidFill>
          </w14:textFill>
        </w:rPr>
        <w:t>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〕第   号</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color w:val="000000" w:themeColor="text1"/>
          <w:sz w:val="52"/>
          <w:szCs w:val="5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color w:val="000000" w:themeColor="text1"/>
          <w:sz w:val="52"/>
          <w:szCs w:val="52"/>
          <w:highlight w:val="none"/>
          <w:lang w:val="en-US" w:eastAsia="zh-CN"/>
          <w14:textFill>
            <w14:solidFill>
              <w14:schemeClr w14:val="tx1"/>
            </w14:solidFill>
          </w14:textFill>
        </w:rPr>
      </w:pPr>
      <w:r>
        <w:rPr>
          <w:rFonts w:hint="eastAsia" w:ascii="黑体" w:hAnsi="黑体" w:eastAsia="黑体" w:cs="黑体"/>
          <w:b/>
          <w:bCs/>
          <w:color w:val="000000" w:themeColor="text1"/>
          <w:sz w:val="52"/>
          <w:szCs w:val="52"/>
          <w:highlight w:val="none"/>
          <w14:textFill>
            <w14:solidFill>
              <w14:schemeClr w14:val="tx1"/>
            </w14:solidFill>
          </w14:textFill>
        </w:rPr>
        <w:t>深圳市</w:t>
      </w:r>
      <w:r>
        <w:rPr>
          <w:rFonts w:hint="eastAsia" w:ascii="黑体" w:hAnsi="黑体" w:eastAsia="黑体" w:cs="黑体"/>
          <w:b/>
          <w:bCs/>
          <w:color w:val="000000" w:themeColor="text1"/>
          <w:sz w:val="52"/>
          <w:szCs w:val="52"/>
          <w:highlight w:val="none"/>
          <w:lang w:val="en-US" w:eastAsia="zh-CN"/>
          <w14:textFill>
            <w14:solidFill>
              <w14:schemeClr w14:val="tx1"/>
            </w14:solidFill>
          </w14:textFill>
        </w:rPr>
        <w:t>龙华</w:t>
      </w:r>
      <w:r>
        <w:rPr>
          <w:rFonts w:hint="eastAsia" w:ascii="黑体" w:hAnsi="黑体" w:eastAsia="黑体" w:cs="黑体"/>
          <w:b/>
          <w:bCs/>
          <w:color w:val="000000" w:themeColor="text1"/>
          <w:sz w:val="52"/>
          <w:szCs w:val="52"/>
          <w:highlight w:val="none"/>
          <w14:textFill>
            <w14:solidFill>
              <w14:schemeClr w14:val="tx1"/>
            </w14:solidFill>
          </w14:textFill>
        </w:rPr>
        <w:t>区</w:t>
      </w:r>
      <w:r>
        <w:rPr>
          <w:rFonts w:hint="eastAsia" w:ascii="黑体" w:hAnsi="黑体" w:eastAsia="黑体" w:cs="黑体"/>
          <w:b/>
          <w:bCs/>
          <w:color w:val="000000" w:themeColor="text1"/>
          <w:sz w:val="52"/>
          <w:szCs w:val="52"/>
          <w:highlight w:val="none"/>
          <w:lang w:eastAsia="zh-CN"/>
          <w14:textFill>
            <w14:solidFill>
              <w14:schemeClr w14:val="tx1"/>
            </w14:solidFill>
          </w14:textFill>
        </w:rPr>
        <w:t>优质产业</w:t>
      </w:r>
      <w:r>
        <w:rPr>
          <w:rFonts w:hint="eastAsia" w:ascii="黑体" w:hAnsi="黑体" w:eastAsia="黑体" w:cs="黑体"/>
          <w:b/>
          <w:bCs/>
          <w:color w:val="000000" w:themeColor="text1"/>
          <w:sz w:val="52"/>
          <w:szCs w:val="52"/>
          <w:highlight w:val="none"/>
          <w:lang w:val="en-US" w:eastAsia="zh-CN"/>
          <w14:textFill>
            <w14:solidFill>
              <w14:schemeClr w14:val="tx1"/>
            </w14:solidFill>
          </w14:textFill>
        </w:rPr>
        <w:t>空间</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color w:val="000000" w:themeColor="text1"/>
          <w:sz w:val="52"/>
          <w:szCs w:val="52"/>
          <w:highlight w:val="none"/>
          <w:lang w:eastAsia="zh-CN"/>
          <w14:textFill>
            <w14:solidFill>
              <w14:schemeClr w14:val="tx1"/>
            </w14:solidFill>
          </w14:textFill>
        </w:rPr>
      </w:pPr>
      <w:r>
        <w:rPr>
          <w:rFonts w:hint="eastAsia" w:ascii="黑体" w:hAnsi="黑体" w:eastAsia="黑体" w:cs="黑体"/>
          <w:b/>
          <w:bCs/>
          <w:color w:val="000000" w:themeColor="text1"/>
          <w:sz w:val="52"/>
          <w:szCs w:val="52"/>
          <w:highlight w:val="none"/>
          <w:lang w:val="en-US" w:eastAsia="zh-CN"/>
          <w14:textFill>
            <w14:solidFill>
              <w14:schemeClr w14:val="tx1"/>
            </w14:solidFill>
          </w14:textFill>
        </w:rPr>
        <w:t>产业发展</w:t>
      </w:r>
      <w:r>
        <w:rPr>
          <w:rFonts w:hint="eastAsia" w:ascii="黑体" w:hAnsi="黑体" w:eastAsia="黑体" w:cs="黑体"/>
          <w:b/>
          <w:bCs/>
          <w:color w:val="000000" w:themeColor="text1"/>
          <w:sz w:val="52"/>
          <w:szCs w:val="52"/>
          <w:highlight w:val="none"/>
          <w14:textFill>
            <w14:solidFill>
              <w14:schemeClr w14:val="tx1"/>
            </w14:solidFill>
          </w14:textFill>
        </w:rPr>
        <w:t>监管协议</w:t>
      </w:r>
      <w:r>
        <w:rPr>
          <w:rFonts w:hint="eastAsia" w:ascii="黑体" w:hAnsi="黑体" w:eastAsia="黑体" w:cs="黑体"/>
          <w:b/>
          <w:bCs/>
          <w:color w:val="000000" w:themeColor="text1"/>
          <w:sz w:val="52"/>
          <w:szCs w:val="52"/>
          <w:highlight w:val="none"/>
          <w:lang w:eastAsia="zh-CN"/>
          <w14:textFill>
            <w14:solidFill>
              <w14:schemeClr w14:val="tx1"/>
            </w14:solidFill>
          </w14:textFill>
        </w:rPr>
        <w:t>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color w:val="000000" w:themeColor="text1"/>
          <w:sz w:val="32"/>
          <w:highlight w:val="none"/>
          <w14:textFill>
            <w14:solidFill>
              <w14:schemeClr w14:val="tx1"/>
            </w14:solidFill>
          </w14:textFill>
        </w:rPr>
      </w:pPr>
      <w:r>
        <w:rPr>
          <w:rFonts w:hint="eastAsia" w:ascii="楷体_GB2312" w:hAnsi="宋体" w:eastAsia="楷体_GB2312"/>
          <w:color w:val="000000" w:themeColor="text1"/>
          <w:sz w:val="32"/>
          <w:highlight w:val="none"/>
          <w:lang w:eastAsia="zh-CN"/>
          <w14:textFill>
            <w14:solidFill>
              <w14:schemeClr w14:val="tx1"/>
            </w14:solidFill>
          </w14:textFill>
        </w:rPr>
        <w:t>（样本）</w:t>
      </w:r>
      <w:r>
        <w:rPr>
          <w:rFonts w:hint="eastAsia" w:ascii="楷体_GB2312" w:hAnsi="宋体" w:eastAsia="楷体_GB2312"/>
          <w:color w:val="000000" w:themeColor="text1"/>
          <w:sz w:val="32"/>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1108" w:firstLineChars="345"/>
        <w:textAlignment w:val="auto"/>
        <w:rPr>
          <w:rFonts w:hint="eastAsia" w:ascii="宋体" w:hAnsi="宋体" w:eastAsia="宋体" w:cs="宋体"/>
          <w:b/>
          <w:bCs/>
          <w:color w:val="auto"/>
          <w:sz w:val="32"/>
          <w:szCs w:val="22"/>
          <w:highlight w:val="none"/>
          <w:u w:val="none"/>
          <w:lang w:val="en-US" w:eastAsia="zh-CN"/>
        </w:rPr>
      </w:pPr>
      <w:r>
        <w:rPr>
          <w:rFonts w:hint="eastAsia" w:ascii="宋体" w:hAnsi="宋体" w:eastAsia="宋体" w:cs="宋体"/>
          <w:b/>
          <w:bCs/>
          <w:color w:val="auto"/>
          <w:sz w:val="32"/>
          <w:szCs w:val="22"/>
          <w:highlight w:val="none"/>
        </w:rPr>
        <w:t>宗地编号：</w:t>
      </w:r>
      <w:r>
        <w:rPr>
          <w:rFonts w:hint="eastAsia" w:ascii="宋体" w:hAnsi="宋体" w:eastAsia="宋体" w:cs="宋体"/>
          <w:b/>
          <w:bCs/>
          <w:color w:val="auto"/>
          <w:sz w:val="32"/>
          <w:szCs w:val="22"/>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1108" w:firstLineChars="345"/>
        <w:textAlignment w:val="auto"/>
        <w:rPr>
          <w:rFonts w:hint="eastAsia" w:ascii="宋体" w:hAnsi="宋体" w:eastAsia="宋体" w:cs="宋体"/>
          <w:b/>
          <w:bCs/>
          <w:color w:val="auto"/>
          <w:sz w:val="32"/>
          <w:szCs w:val="22"/>
          <w:highlight w:val="none"/>
          <w:u w:val="none"/>
        </w:rPr>
      </w:pPr>
      <w:r>
        <w:rPr>
          <w:rFonts w:hint="eastAsia" w:ascii="宋体" w:hAnsi="宋体" w:eastAsia="宋体" w:cs="宋体"/>
          <w:b/>
          <w:bCs/>
          <w:color w:val="auto"/>
          <w:sz w:val="32"/>
          <w:szCs w:val="22"/>
          <w:highlight w:val="none"/>
        </w:rPr>
        <w:t>项目名称：</w:t>
      </w:r>
      <w:r>
        <w:rPr>
          <w:rFonts w:hint="eastAsia" w:ascii="宋体" w:hAnsi="宋体" w:eastAsia="宋体" w:cs="宋体"/>
          <w:b/>
          <w:bCs/>
          <w:color w:val="auto"/>
          <w:sz w:val="32"/>
          <w:szCs w:val="22"/>
          <w:highlight w:val="none"/>
          <w:u w:val="none"/>
        </w:rPr>
        <w:t xml:space="preserve">                                 </w:t>
      </w:r>
    </w:p>
    <w:p>
      <w:pPr>
        <w:keepNext w:val="0"/>
        <w:keepLines w:val="0"/>
        <w:pageBreakBefore w:val="0"/>
        <w:kinsoku/>
        <w:wordWrap/>
        <w:topLinePunct w:val="0"/>
        <w:autoSpaceDE/>
        <w:autoSpaceDN/>
        <w:bidi w:val="0"/>
        <w:spacing w:line="560" w:lineRule="exact"/>
        <w:ind w:firstLine="1108" w:firstLineChars="345"/>
        <w:textAlignment w:val="auto"/>
        <w:rPr>
          <w:rFonts w:hint="eastAsia" w:ascii="黑体" w:hAnsi="黑体" w:eastAsia="黑体" w:cs="黑体"/>
          <w:b/>
          <w:bCs/>
          <w:color w:val="auto"/>
          <w:sz w:val="32"/>
          <w:szCs w:val="32"/>
          <w:highlight w:val="none"/>
        </w:rPr>
      </w:pPr>
      <w:r>
        <w:rPr>
          <w:rFonts w:hint="eastAsia" w:ascii="宋体" w:hAnsi="宋体" w:eastAsia="宋体" w:cs="宋体"/>
          <w:b/>
          <w:bCs/>
          <w:color w:val="auto"/>
          <w:sz w:val="32"/>
          <w:szCs w:val="22"/>
          <w:highlight w:val="none"/>
        </w:rPr>
        <w:t>土地出让合同编号：</w:t>
      </w:r>
      <w:r>
        <w:rPr>
          <w:rFonts w:hint="eastAsia" w:ascii="仿宋_GB2312" w:hAnsi="仿宋_GB2312" w:eastAsia="仿宋_GB2312" w:cs="仿宋_GB2312"/>
          <w:b/>
          <w:bCs/>
          <w:color w:val="auto"/>
          <w:sz w:val="32"/>
          <w:szCs w:val="32"/>
          <w:highlight w:val="none"/>
        </w:rPr>
        <w:t>（以土地出让合同为准）</w:t>
      </w:r>
    </w:p>
    <w:p>
      <w:pPr>
        <w:keepNext w:val="0"/>
        <w:keepLines w:val="0"/>
        <w:pageBreakBefore w:val="0"/>
        <w:kinsoku/>
        <w:wordWrap/>
        <w:topLinePunct w:val="0"/>
        <w:autoSpaceDE/>
        <w:autoSpaceDN/>
        <w:bidi w:val="0"/>
        <w:snapToGrid w:val="0"/>
        <w:spacing w:line="560" w:lineRule="exact"/>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firstLine="0" w:firstLineChars="0"/>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hint="eastAsia"/>
          <w:color w:val="auto"/>
          <w:highlight w:val="none"/>
        </w:rPr>
      </w:pPr>
    </w:p>
    <w:p>
      <w:pPr>
        <w:keepNext w:val="0"/>
        <w:keepLines w:val="0"/>
        <w:pageBreakBefore w:val="0"/>
        <w:kinsoku/>
        <w:wordWrap/>
        <w:topLinePunct w:val="0"/>
        <w:autoSpaceDE/>
        <w:autoSpaceDN/>
        <w:bidi w:val="0"/>
        <w:snapToGrid w:val="0"/>
        <w:spacing w:line="560" w:lineRule="exact"/>
        <w:jc w:val="center"/>
        <w:textAlignment w:val="auto"/>
        <w:rPr>
          <w:rFonts w:hint="eastAsia" w:ascii="仿宋_GB2312" w:hAnsi="仿宋_GB2312" w:eastAsia="方正小标宋简体" w:cs="方正小标宋简体"/>
          <w:bCs/>
          <w:color w:val="auto"/>
          <w:sz w:val="44"/>
          <w:szCs w:val="44"/>
          <w:highlight w:val="none"/>
        </w:rPr>
      </w:pPr>
      <w:r>
        <w:rPr>
          <w:rFonts w:hint="eastAsia" w:ascii="宋体" w:hAnsi="宋体" w:eastAsia="宋体" w:cs="宋体"/>
          <w:b/>
          <w:bCs/>
          <w:color w:val="auto"/>
          <w:sz w:val="32"/>
          <w:szCs w:val="32"/>
          <w:highlight w:val="none"/>
        </w:rPr>
        <w:t>深圳市龙华区工业和信息化局 制</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highlight w:val="none"/>
          <w14:textFill>
            <w14:solidFill>
              <w14:schemeClr w14:val="tx1"/>
            </w14:solidFill>
          </w14:textFill>
        </w:rPr>
      </w:pPr>
      <w:r>
        <w:rPr>
          <w:rFonts w:hint="eastAsia" w:ascii="楷体_GB2312" w:hAnsi="宋体" w:eastAsia="楷体_GB2312"/>
          <w:b/>
          <w:bCs/>
          <w:color w:val="000000" w:themeColor="text1"/>
          <w:sz w:val="32"/>
          <w:highlight w:val="none"/>
          <w14:textFill>
            <w14:solidFill>
              <w14:schemeClr w14:val="tx1"/>
            </w14:solidFill>
          </w14:textFill>
        </w:rPr>
        <w:br w:type="page"/>
      </w:r>
    </w:p>
    <w:p>
      <w:pPr>
        <w:pStyle w:val="5"/>
        <w:keepNext w:val="0"/>
        <w:keepLines w:val="0"/>
        <w:pageBreakBefore w:val="0"/>
        <w:kinsoku/>
        <w:wordWrap/>
        <w:topLinePunct w:val="0"/>
        <w:autoSpaceDE/>
        <w:autoSpaceDN/>
        <w:bidi w:val="0"/>
        <w:spacing w:line="560" w:lineRule="exact"/>
        <w:ind w:firstLine="573"/>
        <w:textAlignment w:val="auto"/>
        <w:rPr>
          <w:rFonts w:hint="eastAsia" w:ascii="CESI仿宋-GB2312" w:hAnsi="CESI仿宋-GB2312" w:eastAsia="CESI仿宋-GB2312" w:cs="CESI仿宋-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根据《深圳市工业及其他产业用地供应管理办法》（深府规﹝2019﹞4号）（以下简称《管理办法》）、《深圳市优质产业空间供给试点改革方案》（深府函﹝20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号）（以下简称《改革方案》），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区产业发展用地</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切实履行产业监管相关要求，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甲方代表深圳市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区人民政府，与乙方、丙方协商一致，订立此协议。</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一、本协议当事人</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49" w:leftChars="-71" w:firstLine="800" w:firstLineChars="250"/>
        <w:jc w:val="left"/>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49" w:leftChars="-71" w:firstLine="800" w:firstLineChars="250"/>
        <w:jc w:val="left"/>
        <w:textAlignment w:val="auto"/>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平台企业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52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position w:val="-32"/>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购房企业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52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position w:val="-32"/>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color w:val="000000" w:themeColor="text1"/>
          <w:sz w:val="30"/>
          <w:szCs w:val="30"/>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二、</w:t>
      </w:r>
      <w:r>
        <w:rPr>
          <w:rFonts w:hint="eastAsia" w:ascii="黑体" w:hAnsi="黑体" w:eastAsia="黑体" w:cs="黑体"/>
          <w:b w:val="0"/>
          <w:bCs/>
          <w:color w:val="000000" w:themeColor="text1"/>
          <w:sz w:val="32"/>
          <w:szCs w:val="32"/>
          <w:highlight w:val="none"/>
          <w14:textFill>
            <w14:solidFill>
              <w14:schemeClr w14:val="tx1"/>
            </w14:solidFill>
          </w14:textFill>
        </w:rPr>
        <w:t>地块基本情况</w:t>
      </w:r>
    </w:p>
    <w:p>
      <w:pPr>
        <w:keepNext w:val="0"/>
        <w:keepLines w:val="0"/>
        <w:pageBreakBefore w:val="0"/>
        <w:kinsoku/>
        <w:wordWrap/>
        <w:overflowPunct/>
        <w:topLinePunct w:val="0"/>
        <w:autoSpaceDE/>
        <w:autoSpaceDN/>
        <w:bidi w:val="0"/>
        <w:adjustRightInd w:val="0"/>
        <w:snapToGrid w:val="0"/>
        <w:spacing w:line="560" w:lineRule="exact"/>
        <w:ind w:left="630" w:leftChars="300" w:firstLine="0" w:firstLineChars="0"/>
        <w:textAlignment w:val="auto"/>
        <w:rPr>
          <w:rFonts w:hint="eastAsia" w:ascii="仿宋_GB2312" w:hAnsi="仿宋_GB2312" w:eastAsia="仿宋_GB2312" w:cs="仿宋_GB2312"/>
          <w:bC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宗地编号：</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土地位置：</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土地用途</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textAlignment w:val="auto"/>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总用地面积（平方米）：</w:t>
      </w:r>
      <w:r>
        <w:rPr>
          <w:rFonts w:hint="eastAsia" w:ascii="仿宋_GB2312" w:hAnsi="仿宋_GB2312" w:eastAsia="仿宋_GB2312" w:cs="仿宋_GB2312"/>
          <w:bCs w:val="0"/>
          <w:color w:val="000000" w:themeColor="text1"/>
          <w:spacing w:val="0"/>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textAlignment w:val="auto"/>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总建筑面积（平方米）：</w:t>
      </w:r>
      <w:r>
        <w:rPr>
          <w:rFonts w:hint="eastAsia" w:ascii="仿宋_GB2312" w:hAnsi="仿宋_GB2312" w:eastAsia="仿宋_GB2312" w:cs="仿宋_GB2312"/>
          <w:bCs w:val="0"/>
          <w:color w:val="000000" w:themeColor="text1"/>
          <w:spacing w:val="0"/>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firstLineChars="0"/>
        <w:textAlignment w:val="auto"/>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textAlignment w:val="auto"/>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土地使用年期（年）：</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p>
    <w:p>
      <w:pPr>
        <w:keepNext w:val="0"/>
        <w:keepLines w:val="0"/>
        <w:pageBreakBefore w:val="0"/>
        <w:kinsoku/>
        <w:wordWrap/>
        <w:overflowPunct w:val="0"/>
        <w:topLinePunct w:val="0"/>
        <w:autoSpaceDE/>
        <w:autoSpaceDN/>
        <w:bidi w:val="0"/>
        <w:adjustRightInd/>
        <w:snapToGrid/>
        <w:spacing w:line="560" w:lineRule="exact"/>
        <w:ind w:left="0" w:firstLine="640" w:firstLineChars="200"/>
        <w:textAlignment w:val="auto"/>
        <w:outlineLvl w:val="9"/>
        <w:rPr>
          <w:rFonts w:hint="eastAsia" w:ascii="CESI黑体-GB2312" w:hAnsi="CESI黑体-GB2312" w:eastAsia="CESI黑体-GB2312" w:cs="CESI黑体-GB2312"/>
          <w:b w:val="0"/>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Cs/>
          <w:color w:val="auto"/>
          <w:sz w:val="32"/>
          <w:szCs w:val="32"/>
          <w:highlight w:val="none"/>
          <w:lang w:eastAsia="zh-CN"/>
        </w:rPr>
        <w:t>（上述情况以土地出让合同及其补充协议约定内容为准）</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三、</w:t>
      </w:r>
      <w:r>
        <w:rPr>
          <w:rFonts w:hint="eastAsia" w:ascii="黑体" w:hAnsi="黑体" w:eastAsia="黑体" w:cs="黑体"/>
          <w:bCs/>
          <w:color w:val="000000" w:themeColor="text1"/>
          <w:sz w:val="32"/>
          <w:szCs w:val="32"/>
          <w:highlight w:val="none"/>
          <w14:textFill>
            <w14:solidFill>
              <w14:schemeClr w14:val="tx1"/>
            </w14:solidFill>
          </w14:textFill>
        </w:rPr>
        <w:t>标的物业的基本情况</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经甲方同意，乙方与丙方签署合同编号为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的《深圳市产业用房及配套用房买卖合同（预售）》（下称《买卖合同》），由丙方购买乙方在本协议第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条约定地块上建成的优质产业空间（下称“标的物业”），建筑面积为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其中厂房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坐落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单元/座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）；宿舍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坐落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单元/座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具体以标的物业不动产权证记载内容为准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（如有，</w:t>
      </w:r>
      <w:r>
        <w:rPr>
          <w:rFonts w:hint="eastAsia" w:ascii="仿宋_GB2312" w:hAnsi="仿宋_GB2312" w:eastAsia="仿宋_GB2312" w:cs="仿宋_GB2312"/>
          <w:color w:val="000000" w:themeColor="text1"/>
          <w:sz w:val="32"/>
          <w:szCs w:val="32"/>
          <w:highlight w:val="none"/>
          <w14:textFill>
            <w14:solidFill>
              <w14:schemeClr w14:val="tx1"/>
            </w14:solidFill>
          </w14:textFill>
        </w:rPr>
        <w:t>不动产证号：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四</w:t>
      </w:r>
      <w:r>
        <w:rPr>
          <w:rFonts w:hint="eastAsia" w:ascii="黑体" w:hAnsi="黑体" w:eastAsia="黑体" w:cs="黑体"/>
          <w:b w:val="0"/>
          <w:bCs/>
          <w:color w:val="000000" w:themeColor="text1"/>
          <w:sz w:val="32"/>
          <w:szCs w:val="32"/>
          <w:highlight w:val="none"/>
          <w14:textFill>
            <w14:solidFill>
              <w14:schemeClr w14:val="tx1"/>
            </w14:solidFill>
          </w14:textFill>
        </w:rPr>
        <w:t>、甲方权利和义务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甲方根据《改革方案》和有关产业用房的政策文件等规定以及本协议的约定，核准丙方购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买</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优质产业空间的资格条件，审查丙方退出标的物业的情形等。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土地使用年期内</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，甲方</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有权</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自行或委托专业机构对本协议约定事项的履行情况进行核查；乙方</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丙方</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应当配合，提供核查所需的文件、资料和数据等。</w:t>
      </w:r>
    </w:p>
    <w:p>
      <w:pPr>
        <w:keepNext w:val="0"/>
        <w:keepLines w:val="0"/>
        <w:pageBreakBefore w:val="0"/>
        <w:kinsoku/>
        <w:wordWrap/>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auto"/>
          <w:sz w:val="32"/>
          <w:szCs w:val="32"/>
          <w:highlight w:val="none"/>
          <w:u w:val="none"/>
        </w:rPr>
        <w:t>经核查，乙方</w:t>
      </w:r>
      <w:r>
        <w:rPr>
          <w:rFonts w:hint="eastAsia" w:ascii="仿宋_GB2312" w:hAnsi="仿宋_GB2312" w:eastAsia="仿宋_GB2312" w:cs="仿宋_GB2312"/>
          <w:color w:val="auto"/>
          <w:sz w:val="32"/>
          <w:szCs w:val="32"/>
          <w:highlight w:val="none"/>
          <w:u w:val="none"/>
          <w:lang w:eastAsia="zh-CN"/>
        </w:rPr>
        <w:t>或丙方</w:t>
      </w:r>
      <w:r>
        <w:rPr>
          <w:rFonts w:hint="eastAsia" w:ascii="仿宋_GB2312" w:hAnsi="仿宋_GB2312" w:eastAsia="仿宋_GB2312" w:cs="仿宋_GB2312"/>
          <w:color w:val="auto"/>
          <w:sz w:val="32"/>
          <w:szCs w:val="32"/>
          <w:highlight w:val="none"/>
          <w:u w:val="none"/>
        </w:rPr>
        <w:t>未能达到本协议书所约定事项要求的，甲方可</w:t>
      </w:r>
      <w:r>
        <w:rPr>
          <w:rFonts w:hint="eastAsia" w:ascii="仿宋_GB2312" w:hAnsi="仿宋_GB2312" w:eastAsia="仿宋_GB2312" w:cs="仿宋_GB2312"/>
          <w:color w:val="auto"/>
          <w:sz w:val="32"/>
          <w:szCs w:val="32"/>
          <w:highlight w:val="none"/>
          <w:u w:val="none"/>
          <w:lang w:eastAsia="zh-CN"/>
        </w:rPr>
        <w:t>责令其限期改正或</w:t>
      </w:r>
      <w:r>
        <w:rPr>
          <w:rFonts w:hint="eastAsia" w:ascii="仿宋_GB2312" w:hAnsi="仿宋_GB2312" w:eastAsia="仿宋_GB2312" w:cs="仿宋_GB2312"/>
          <w:color w:val="auto"/>
          <w:sz w:val="32"/>
          <w:szCs w:val="32"/>
          <w:highlight w:val="none"/>
          <w:u w:val="none"/>
        </w:rPr>
        <w:t>按照本协议书违约责任的约定进行责任追究。</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color w:val="000000" w:themeColor="text1"/>
          <w:sz w:val="32"/>
          <w:szCs w:val="32"/>
          <w:highlight w:val="none"/>
          <w14:textFill>
            <w14:solidFill>
              <w14:schemeClr w14:val="tx1"/>
            </w14:solidFill>
          </w14:textFill>
        </w:rPr>
        <w:t>乙方权利和义务</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乙方按照本协议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约定</w:t>
      </w:r>
      <w:r>
        <w:rPr>
          <w:rFonts w:hint="eastAsia" w:ascii="仿宋_GB2312" w:hAnsi="仿宋_GB2312" w:eastAsia="仿宋_GB2312" w:cs="仿宋_GB2312"/>
          <w:color w:val="000000" w:themeColor="text1"/>
          <w:sz w:val="32"/>
          <w:szCs w:val="32"/>
          <w:highlight w:val="none"/>
          <w14:textFill>
            <w14:solidFill>
              <w14:schemeClr w14:val="tx1"/>
            </w14:solidFill>
          </w14:textFill>
        </w:rPr>
        <w:t>内容并经甲方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事先书面</w:t>
      </w:r>
      <w:r>
        <w:rPr>
          <w:rFonts w:hint="eastAsia" w:ascii="仿宋_GB2312" w:hAnsi="仿宋_GB2312" w:eastAsia="仿宋_GB2312" w:cs="仿宋_GB2312"/>
          <w:color w:val="000000" w:themeColor="text1"/>
          <w:sz w:val="32"/>
          <w:szCs w:val="32"/>
          <w:highlight w:val="none"/>
          <w14:textFill>
            <w14:solidFill>
              <w14:schemeClr w14:val="tx1"/>
            </w14:solidFill>
          </w14:textFill>
        </w:rPr>
        <w:t>核准，向丙方提供优质产业空间。</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乙</w:t>
      </w:r>
      <w:r>
        <w:rPr>
          <w:rFonts w:hint="eastAsia" w:ascii="仿宋_GB2312" w:hAnsi="仿宋_GB2312" w:eastAsia="仿宋_GB2312" w:cs="仿宋_GB2312"/>
          <w:color w:val="000000" w:themeColor="text1"/>
          <w:sz w:val="32"/>
          <w:szCs w:val="32"/>
          <w:highlight w:val="none"/>
          <w14:textFill>
            <w14:solidFill>
              <w14:schemeClr w14:val="tx1"/>
            </w14:solidFill>
          </w14:textFill>
        </w:rPr>
        <w:t>方作为产业园区的运营服务方，应定期对分割销售购房企业进行巡查、经济数据收集，对购房企业在使用期间出现违反产业监管协议或《改革方案》约定的行为，应及时告知购房企业整改，并将购房企业的违约情况及相关材料报送给甲方。乙方应协助甲方对分割销售购房企业进行专业履约核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和违约处理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乙方应配合甲方对符合退出条件的丙方进行清退。</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丙</w:t>
      </w:r>
      <w:r>
        <w:rPr>
          <w:rFonts w:hint="eastAsia" w:ascii="黑体" w:hAnsi="黑体" w:eastAsia="黑体" w:cs="黑体"/>
          <w:b w:val="0"/>
          <w:bCs/>
          <w:color w:val="000000" w:themeColor="text1"/>
          <w:sz w:val="32"/>
          <w:szCs w:val="32"/>
          <w:highlight w:val="none"/>
          <w14:textFill>
            <w14:solidFill>
              <w14:schemeClr w14:val="tx1"/>
            </w14:solidFill>
          </w14:textFill>
        </w:rPr>
        <w:t>方权利和义务</w:t>
      </w:r>
    </w:p>
    <w:p>
      <w:pPr>
        <w:keepNext w:val="0"/>
        <w:keepLines w:val="0"/>
        <w:pageBreakBefore w:val="0"/>
        <w:numPr>
          <w:ilvl w:val="-1"/>
          <w:numId w:val="0"/>
        </w:numPr>
        <w:kinsoku/>
        <w:wordWrap/>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丙方应按照本协议约定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和《改革方案》的规定</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使用标的物业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，并配合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方核查，提供核查所需文件、资料和数据等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（二）丙方承诺：</w:t>
      </w:r>
    </w:p>
    <w:p>
      <w:pPr>
        <w:keepNext w:val="0"/>
        <w:keepLines w:val="0"/>
        <w:pageBreakBefore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1.产业准入条件</w:t>
      </w:r>
    </w:p>
    <w:p>
      <w:pPr>
        <w:keepNext w:val="0"/>
        <w:keepLines w:val="0"/>
        <w:pageBreakBefore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u w:val="single"/>
          <w:lang w:eastAsia="zh-CN"/>
        </w:rPr>
        <w:t>标的物业仅用于发展</w:t>
      </w:r>
      <w:r>
        <w:rPr>
          <w:rFonts w:hint="eastAsia" w:ascii="仿宋_GB2312" w:hAnsi="仿宋_GB2312" w:eastAsia="仿宋_GB2312" w:cs="仿宋_GB2312"/>
          <w:color w:val="auto"/>
          <w:sz w:val="32"/>
          <w:szCs w:val="32"/>
          <w:highlight w:val="none"/>
          <w:u w:val="single"/>
        </w:rPr>
        <w:t>《深圳市产业结构调整优化和产业导向目录（2016年修订）》中鼓励发展类</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2.产出效率和节能环保</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）产出效率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自标的物业完成不动产登记之日起第一个</w:t>
      </w: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lang w:eastAsia="zh-CN"/>
        </w:rPr>
        <w:t>年</w:t>
      </w:r>
      <w:r>
        <w:rPr>
          <w:rFonts w:hint="eastAsia" w:ascii="仿宋_GB2312" w:hAnsi="仿宋_GB2312" w:eastAsia="仿宋_GB2312" w:cs="仿宋_GB2312"/>
          <w:b w:val="0"/>
          <w:bCs w:val="0"/>
          <w:color w:val="auto"/>
          <w:sz w:val="32"/>
          <w:szCs w:val="32"/>
          <w:highlight w:val="none"/>
          <w:u w:val="none"/>
        </w:rPr>
        <w:t>（含当年）</w:t>
      </w:r>
      <w:r>
        <w:rPr>
          <w:rFonts w:hint="eastAsia" w:ascii="仿宋_GB2312" w:hAnsi="仿宋_GB2312" w:eastAsia="仿宋_GB2312" w:cs="仿宋_GB2312"/>
          <w:b w:val="0"/>
          <w:bCs w:val="0"/>
          <w:color w:val="auto"/>
          <w:sz w:val="32"/>
          <w:szCs w:val="32"/>
          <w:highlight w:val="none"/>
          <w:u w:val="none"/>
          <w:lang w:eastAsia="zh-CN"/>
        </w:rPr>
        <w:t>，即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日至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日（以下简称“承诺期”），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区统计的产值规模（营业收入）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累计</w:t>
      </w:r>
      <w:r>
        <w:rPr>
          <w:rFonts w:hint="eastAsia" w:ascii="仿宋_GB2312" w:hAnsi="仿宋_GB2312" w:eastAsia="仿宋_GB2312" w:cs="仿宋_GB2312"/>
          <w:color w:val="000000" w:themeColor="text1"/>
          <w:sz w:val="32"/>
          <w:szCs w:val="32"/>
          <w:highlight w:val="none"/>
          <w14:textFill>
            <w14:solidFill>
              <w14:schemeClr w14:val="tx1"/>
            </w14:solidFill>
          </w14:textFill>
        </w:rPr>
        <w:t>不低于</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亿</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sz w:val="32"/>
          <w:szCs w:val="32"/>
          <w:highlight w:val="none"/>
          <w:u w:val="none"/>
          <w:lang w:val="en-US" w:eastAsia="zh-CN"/>
        </w:rPr>
        <w:t>增加值</w:t>
      </w:r>
      <w:r>
        <w:rPr>
          <w:rFonts w:hint="eastAsia" w:ascii="仿宋_GB2312" w:hAnsi="仿宋_GB2312" w:eastAsia="仿宋_GB2312" w:cs="仿宋_GB2312"/>
          <w:b w:val="0"/>
          <w:bCs w:val="0"/>
          <w:color w:val="auto"/>
          <w:sz w:val="32"/>
          <w:szCs w:val="32"/>
          <w:highlight w:val="none"/>
          <w:u w:val="none"/>
        </w:rPr>
        <w:t>不低于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亿</w:t>
      </w:r>
      <w:r>
        <w:rPr>
          <w:rFonts w:hint="eastAsia" w:ascii="仿宋_GB2312" w:hAnsi="仿宋_GB2312" w:eastAsia="仿宋_GB2312" w:cs="仿宋_GB2312"/>
          <w:b w:val="0"/>
          <w:bCs w:val="0"/>
          <w:color w:val="auto"/>
          <w:sz w:val="32"/>
          <w:szCs w:val="32"/>
          <w:highlight w:val="none"/>
          <w:u w:val="none"/>
        </w:rPr>
        <w:t>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纳税额不低于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亿</w:t>
      </w:r>
      <w:r>
        <w:rPr>
          <w:rFonts w:hint="eastAsia" w:ascii="仿宋_GB2312" w:hAnsi="仿宋_GB2312" w:eastAsia="仿宋_GB2312" w:cs="仿宋_GB2312"/>
          <w:b w:val="0"/>
          <w:bCs w:val="0"/>
          <w:color w:val="auto"/>
          <w:sz w:val="32"/>
          <w:szCs w:val="32"/>
          <w:highlight w:val="none"/>
          <w:u w:val="none"/>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（2）节能环保</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产值能耗（单位工业总产值的能耗量）</w:t>
      </w:r>
      <w:r>
        <w:rPr>
          <w:rFonts w:hint="eastAsia" w:ascii="仿宋_GB2312" w:hAnsi="仿宋_GB2312" w:eastAsia="仿宋_GB2312" w:cs="仿宋_GB2312"/>
          <w:b w:val="0"/>
          <w:bCs w:val="0"/>
          <w:color w:val="auto"/>
          <w:sz w:val="32"/>
          <w:szCs w:val="32"/>
          <w:highlight w:val="none"/>
          <w:lang w:eastAsia="zh-CN"/>
        </w:rPr>
        <w:t>每</w:t>
      </w:r>
      <w:r>
        <w:rPr>
          <w:rFonts w:hint="eastAsia" w:ascii="仿宋_GB2312" w:hAnsi="仿宋_GB2312" w:eastAsia="仿宋_GB2312" w:cs="仿宋_GB2312"/>
          <w:b w:val="0"/>
          <w:bCs w:val="0"/>
          <w:color w:val="auto"/>
          <w:sz w:val="32"/>
          <w:szCs w:val="32"/>
          <w:highlight w:val="none"/>
        </w:rPr>
        <w:t>年均不高于</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吨标准煤/万元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u w:val="none"/>
        </w:rPr>
        <w:t>项目粉尘、废气、废水、废渣、磁辐射污染、噪声等的排放和产生符合国家、省、市环保政策和法律法规的标准和要求。</w:t>
      </w:r>
    </w:p>
    <w:p>
      <w:pPr>
        <w:keepNext w:val="0"/>
        <w:keepLines w:val="0"/>
        <w:pageBreakBefore w:val="0"/>
        <w:kinsoku/>
        <w:wordWrap/>
        <w:overflowPunct/>
        <w:topLinePunct w:val="0"/>
        <w:autoSpaceDE/>
        <w:autoSpaceDN/>
        <w:bidi w:val="0"/>
        <w:adjustRightInd w:val="0"/>
        <w:snapToGrid w:val="0"/>
        <w:spacing w:line="560" w:lineRule="exact"/>
        <w:ind w:left="0" w:leftChars="0" w:firstLine="681"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（3）承诺期满，丙方符合本项产业效率、节能环保条件要求且未退出的，承诺期后重点监管产业发展规划定位符合性。</w:t>
      </w:r>
    </w:p>
    <w:p>
      <w:pPr>
        <w:keepNext w:val="0"/>
        <w:keepLines w:val="0"/>
        <w:pageBreakBefore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3.迁入限制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税务关系</w:t>
      </w:r>
      <w:r>
        <w:rPr>
          <w:rFonts w:hint="eastAsia" w:eastAsia="仿宋_GB2312" w:cs="仿宋_GB2312"/>
          <w:color w:val="auto"/>
          <w:kern w:val="0"/>
          <w:sz w:val="32"/>
          <w:szCs w:val="32"/>
          <w:highlight w:val="none"/>
          <w:u w:val="none"/>
          <w:lang w:eastAsia="zh-CN"/>
        </w:rPr>
        <w:t>、统计关系、实际经营地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的使用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期限内不得迁出</w:t>
      </w:r>
      <w:r>
        <w:rPr>
          <w:rFonts w:hint="eastAsia" w:eastAsia="仿宋_GB2312" w:cs="仿宋_GB2312"/>
          <w:color w:val="auto"/>
          <w:kern w:val="0"/>
          <w:sz w:val="32"/>
          <w:szCs w:val="32"/>
          <w:highlight w:val="none"/>
          <w:u w:val="none"/>
          <w:lang w:eastAsia="zh-CN"/>
        </w:rPr>
        <w:t>深圳市龙华区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为龙华区外企业的</w:t>
      </w:r>
      <w:r>
        <w:rPr>
          <w:rFonts w:hint="eastAsia" w:ascii="仿宋_GB2312" w:hAnsi="仿宋_GB2312" w:eastAsia="仿宋_GB2312" w:cs="仿宋_GB2312"/>
          <w:color w:val="000000" w:themeColor="text1"/>
          <w:sz w:val="32"/>
          <w:szCs w:val="32"/>
          <w:highlight w:val="none"/>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自标的物业完成不动产登记之日起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三个月</w:t>
      </w:r>
      <w:r>
        <w:rPr>
          <w:rFonts w:hint="eastAsia" w:ascii="仿宋_GB2312" w:hAnsi="仿宋_GB2312" w:eastAsia="仿宋_GB2312" w:cs="仿宋_GB2312"/>
          <w:color w:val="000000" w:themeColor="text1"/>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将税务</w:t>
      </w:r>
      <w:r>
        <w:rPr>
          <w:rFonts w:hint="eastAsia" w:eastAsia="仿宋_GB2312" w:cs="仿宋_GB2312"/>
          <w:color w:val="auto"/>
          <w:kern w:val="0"/>
          <w:sz w:val="32"/>
          <w:szCs w:val="32"/>
          <w:highlight w:val="none"/>
          <w:u w:val="none"/>
          <w:lang w:eastAsia="zh-CN"/>
        </w:rPr>
        <w:t>关系、统计关系、实际经营地迁入深圳市龙华区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转让限制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）自完成不动产登记之日起未满5年的标的物业，原则上不允许转让。</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）丙方自标的物业完成不动产登记之日起，5年累计达到本协议第六条第（二）项第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bookmarkStart w:id="1" w:name="_GoBack"/>
      <w:bookmarkEnd w:id="1"/>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约定的要求，可申请将其名下的标的物业进行转让，房屋转让价格不得高于购置价格，不得以其他名义收取额外费用，区政府或其指定单位享有优先购买权；区政府及其指定单位放弃购买的，由甲方从遴选企业库中按程序选取次受让主体开展转让工作，次受让主体应与</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、乙方重新参照本协议签订产业发展监管协议。转让涉及的税费按照现行不动产转移登记的相关法律法规执行。</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）二次转让应按丙方办理标的物业不动产权登记时的证载面积为单位整体转让，不可分割转让</w:t>
      </w:r>
      <w:r>
        <w:rPr>
          <w:rFonts w:hint="eastAsia" w:ascii="仿宋_GB2312" w:hAnsi="仿宋_GB2312" w:eastAsia="仿宋_GB2312" w:cs="仿宋_GB2312"/>
          <w:b w:val="0"/>
          <w:i w:val="0"/>
          <w:caps w:val="0"/>
          <w:color w:val="000000" w:themeColor="text1"/>
          <w:spacing w:val="0"/>
          <w:sz w:val="32"/>
          <w:szCs w:val="32"/>
          <w:highlight w:val="none"/>
          <w:shd w:val="clear"/>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5.出租、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抵押限制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丙方购买的标的物业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限定自用，</w:t>
      </w:r>
      <w:r>
        <w:rPr>
          <w:rFonts w:hint="eastAsia" w:ascii="仿宋_GB2312" w:hAnsi="仿宋_GB2312" w:eastAsia="仿宋_GB2312" w:cs="仿宋_GB2312"/>
          <w:color w:val="000000" w:themeColor="text1"/>
          <w:sz w:val="32"/>
          <w:szCs w:val="32"/>
          <w:highlight w:val="none"/>
          <w14:textFill>
            <w14:solidFill>
              <w14:schemeClr w14:val="tx1"/>
            </w14:solidFill>
          </w14:textFill>
        </w:rPr>
        <w:t>允许抵押，但抵押金额不得超过不动产剩余年期的建（构）筑物残值。</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强制执行</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丙方因人民法院强制执行拍卖或者变卖标的物业所有权的，次受让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应当符合原受让人资格条件，并应当承接原《买卖合同》及本协议规定的责任及义务。人民法院强制执行又无符合条件的次受让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的，标的物业由区政府或其指定单位回购。</w:t>
      </w:r>
    </w:p>
    <w:p>
      <w:pPr>
        <w:pStyle w:val="2"/>
        <w:keepNext w:val="0"/>
        <w:keepLines w:val="0"/>
        <w:pageBreakBefore w:val="0"/>
        <w:numPr>
          <w:ilvl w:val="-1"/>
          <w:numId w:val="0"/>
        </w:numPr>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7.股权变更限制</w:t>
      </w:r>
    </w:p>
    <w:p>
      <w:pPr>
        <w:pStyle w:val="2"/>
        <w:keepNext w:val="0"/>
        <w:keepLines w:val="0"/>
        <w:pageBreakBefore w:val="0"/>
        <w:numPr>
          <w:ilvl w:val="-1"/>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highlight w:val="none"/>
          <w:u w:val="none"/>
          <w:lang w:eastAsia="zh-CN"/>
        </w:rPr>
        <w:t>原则上丙方</w:t>
      </w:r>
      <w:r>
        <w:rPr>
          <w:rFonts w:hint="eastAsia" w:ascii="仿宋_GB2312" w:hAnsi="仿宋_GB2312" w:eastAsia="仿宋_GB2312" w:cs="仿宋_GB2312"/>
          <w:color w:val="000000" w:themeColor="text1"/>
          <w:sz w:val="32"/>
          <w:szCs w:val="32"/>
          <w:highlight w:val="none"/>
          <w14:textFill>
            <w14:solidFill>
              <w14:schemeClr w14:val="tx1"/>
            </w14:solidFill>
          </w14:textFill>
        </w:rPr>
        <w:t>在使用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期间</w:t>
      </w:r>
      <w:r>
        <w:rPr>
          <w:rFonts w:hint="eastAsia" w:ascii="仿宋_GB2312" w:hAnsi="仿宋_GB2312" w:eastAsia="仿宋_GB2312" w:cs="仿宋_GB2312"/>
          <w:color w:val="auto"/>
          <w:kern w:val="0"/>
          <w:sz w:val="32"/>
          <w:szCs w:val="32"/>
          <w:highlight w:val="none"/>
          <w:u w:val="none"/>
        </w:rPr>
        <w:t>不得以股权转让（导致企业控股权或实际控制权发生变更的转让）或变更的方式变相转让</w:t>
      </w:r>
      <w:r>
        <w:rPr>
          <w:rFonts w:hint="eastAsia" w:ascii="仿宋_GB2312" w:hAnsi="仿宋_GB2312" w:eastAsia="仿宋_GB2312" w:cs="仿宋_GB2312"/>
          <w:color w:val="auto"/>
          <w:kern w:val="0"/>
          <w:sz w:val="32"/>
          <w:szCs w:val="32"/>
          <w:highlight w:val="none"/>
          <w:u w:val="none"/>
          <w:lang w:eastAsia="zh-CN"/>
        </w:rPr>
        <w:t>标的物业权属</w:t>
      </w:r>
      <w:r>
        <w:rPr>
          <w:rFonts w:hint="eastAsia" w:ascii="仿宋_GB2312" w:hAnsi="仿宋_GB2312" w:eastAsia="仿宋_GB2312" w:cs="仿宋_GB2312"/>
          <w:kern w:val="0"/>
          <w:sz w:val="32"/>
          <w:szCs w:val="32"/>
          <w:highlight w:val="none"/>
          <w:u w:val="none"/>
          <w:lang w:val="en-US" w:eastAsia="zh-CN"/>
        </w:rPr>
        <w:t>。</w:t>
      </w:r>
    </w:p>
    <w:p>
      <w:pPr>
        <w:pStyle w:val="2"/>
        <w:keepNext w:val="0"/>
        <w:keepLines w:val="0"/>
        <w:pageBreakBefore w:val="0"/>
        <w:numPr>
          <w:ilvl w:val="-1"/>
          <w:numId w:val="0"/>
        </w:numPr>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8.封闭流转限制</w:t>
      </w:r>
    </w:p>
    <w:p>
      <w:pPr>
        <w:pStyle w:val="2"/>
        <w:keepNext w:val="0"/>
        <w:keepLines w:val="0"/>
        <w:pageBreakBefore w:val="0"/>
        <w:numPr>
          <w:ilvl w:val="-1"/>
          <w:numId w:val="0"/>
        </w:numPr>
        <w:kinsoku/>
        <w:wordWrap/>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标的物业使用及再次出售应按</w:t>
      </w:r>
      <w:r>
        <w:rPr>
          <w:rFonts w:hint="eastAsia" w:ascii="仿宋_GB2312" w:hAnsi="仿宋_GB2312" w:eastAsia="仿宋_GB2312" w:cs="仿宋_GB2312"/>
          <w:color w:val="000000" w:themeColor="text1"/>
          <w:sz w:val="32"/>
          <w:szCs w:val="32"/>
          <w:highlight w:val="none"/>
          <w14:textFill>
            <w14:solidFill>
              <w14:schemeClr w14:val="tx1"/>
            </w14:solidFill>
          </w14:textFill>
        </w:rPr>
        <w:t>《改革方案》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相关要求进行。</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七</w:t>
      </w:r>
      <w:r>
        <w:rPr>
          <w:rFonts w:hint="eastAsia" w:ascii="黑体" w:hAnsi="黑体" w:eastAsia="黑体" w:cs="黑体"/>
          <w:b w:val="0"/>
          <w:bCs/>
          <w:color w:val="000000" w:themeColor="text1"/>
          <w:sz w:val="32"/>
          <w:szCs w:val="32"/>
          <w:highlight w:val="none"/>
          <w14:textFill>
            <w14:solidFill>
              <w14:schemeClr w14:val="tx1"/>
            </w14:solidFill>
          </w14:textFill>
        </w:rPr>
        <w:t>、</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违约</w:t>
      </w:r>
      <w:r>
        <w:rPr>
          <w:rFonts w:hint="eastAsia" w:ascii="黑体" w:hAnsi="黑体" w:eastAsia="黑体" w:cs="黑体"/>
          <w:b w:val="0"/>
          <w:bCs/>
          <w:color w:val="000000" w:themeColor="text1"/>
          <w:sz w:val="32"/>
          <w:szCs w:val="32"/>
          <w:highlight w:val="none"/>
          <w14:textFill>
            <w14:solidFill>
              <w14:schemeClr w14:val="tx1"/>
            </w14:solidFill>
          </w14:textFill>
        </w:rPr>
        <w:t>责任</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（一）履约核查内容及一般违约责任</w:t>
      </w:r>
    </w:p>
    <w:p>
      <w:pPr>
        <w:keepNext w:val="0"/>
        <w:keepLines w:val="0"/>
        <w:pageBreakBefore w:val="0"/>
        <w:numPr>
          <w:ilvl w:val="0"/>
          <w:numId w:val="0"/>
        </w:numPr>
        <w:kinsoku/>
        <w:wordWrap/>
        <w:topLinePunct w:val="0"/>
        <w:autoSpaceDE/>
        <w:autoSpaceDN/>
        <w:bidi w:val="0"/>
        <w:spacing w:line="560" w:lineRule="exact"/>
        <w:ind w:firstLine="640"/>
        <w:textAlignment w:val="auto"/>
        <w:outlineLvl w:val="9"/>
        <w:rPr>
          <w:rFonts w:hint="eastAsia" w:eastAsia="仿宋_GB2312" w:cs="仿宋_GB2312"/>
          <w:color w:val="auto"/>
          <w:kern w:val="0"/>
          <w:sz w:val="32"/>
          <w:szCs w:val="32"/>
          <w:highlight w:val="none"/>
          <w:u w:val="none"/>
          <w:lang w:eastAsia="zh-CN"/>
        </w:rPr>
      </w:pPr>
      <w:r>
        <w:rPr>
          <w:rFonts w:hint="eastAsia" w:eastAsia="仿宋_GB2312" w:cs="仿宋_GB2312"/>
          <w:color w:val="auto"/>
          <w:kern w:val="0"/>
          <w:sz w:val="32"/>
          <w:szCs w:val="32"/>
          <w:highlight w:val="none"/>
          <w:u w:val="none"/>
          <w:lang w:eastAsia="zh-CN"/>
        </w:rPr>
        <w:t>甲方应组织相关部门或委托第三方专业机构按照本协议约定及</w:t>
      </w:r>
      <w:r>
        <w:rPr>
          <w:rFonts w:hint="eastAsia" w:ascii="仿宋_GB2312" w:hAnsi="仿宋_GB2312" w:eastAsia="仿宋_GB2312" w:cs="仿宋_GB2312"/>
          <w:color w:val="000000" w:themeColor="text1"/>
          <w:sz w:val="32"/>
          <w:szCs w:val="32"/>
          <w:highlight w:val="none"/>
          <w14:textFill>
            <w14:solidFill>
              <w14:schemeClr w14:val="tx1"/>
            </w14:solidFill>
          </w14:textFill>
        </w:rPr>
        <w:t>《改革方案》</w:t>
      </w:r>
      <w:r>
        <w:rPr>
          <w:rFonts w:hint="eastAsia" w:eastAsia="仿宋_GB2312" w:cs="仿宋_GB2312"/>
          <w:color w:val="auto"/>
          <w:kern w:val="0"/>
          <w:sz w:val="32"/>
          <w:szCs w:val="32"/>
          <w:highlight w:val="none"/>
          <w:u w:val="none"/>
          <w:lang w:eastAsia="zh-CN"/>
        </w:rPr>
        <w:t>规定内容，对丙方进行履约情况核查。若经核查，丙方存在违约情况的，甲方可按照本协议约定及</w:t>
      </w:r>
      <w:r>
        <w:rPr>
          <w:rFonts w:hint="eastAsia" w:ascii="仿宋_GB2312" w:hAnsi="仿宋_GB2312" w:eastAsia="仿宋_GB2312" w:cs="仿宋_GB2312"/>
          <w:color w:val="000000" w:themeColor="text1"/>
          <w:sz w:val="32"/>
          <w:szCs w:val="32"/>
          <w:highlight w:val="none"/>
          <w14:textFill>
            <w14:solidFill>
              <w14:schemeClr w14:val="tx1"/>
            </w14:solidFill>
          </w14:textFill>
        </w:rPr>
        <w:t>《改革方案》</w:t>
      </w:r>
      <w:r>
        <w:rPr>
          <w:rFonts w:hint="eastAsia" w:eastAsia="仿宋_GB2312" w:cs="仿宋_GB2312"/>
          <w:color w:val="auto"/>
          <w:kern w:val="0"/>
          <w:sz w:val="32"/>
          <w:szCs w:val="32"/>
          <w:highlight w:val="none"/>
          <w:u w:val="none"/>
          <w:lang w:eastAsia="zh-CN"/>
        </w:rPr>
        <w:t>规定追究丙方的违约责任，将丙方及其法定代表人、负责人、股东、投资人等责任主体及丙方关联企业依法列入失信“黑名单”，并报送至市公共信用信息管理系统，请求各相关职责部门依法依规实施联合惩戒。在联合惩戒期限内，重点在政府采购、建设工程招投标、政府资金扶持、城市更新、土地竞拍等方面对失信主体予以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（二）违反产出效率的违约责任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经核查，丙方纳入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区的产值规模（营业收入）未达到本协议第六条第（二）款第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约定要求的，丙方应向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支付产值规模（营业收入）不足部分的1%作为该阶段性核查不合格违约金。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产值规模（营业收入）不足部分的1%=</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核查期内企业承诺形成的产值规模（营业收入）-核查期内企业实际形成的产值规模（营业收入）</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.经核查，丙方纳入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增加值</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14:textFill>
            <w14:solidFill>
              <w14:schemeClr w14:val="tx1"/>
            </w14:solidFill>
          </w14:textFill>
        </w:rPr>
        <w:t>约定要求的，丙方应向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增加值不足部分的1%</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作为该阶段性核查不合格违约金。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增加值不足部分的1%=</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核查期内企业承诺形成的增加值-核查期内企业实际形成的增加值</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经核查，丙方纳入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税收贡献</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14:textFill>
            <w14:solidFill>
              <w14:schemeClr w14:val="tx1"/>
            </w14:solidFill>
          </w14:textFill>
        </w:rPr>
        <w:t>约定要求的，丙方应向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税收贡献不足部分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作为该阶段性核查不合格违约金。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税收贡献不足部分=核查期内企业承诺形成的税收贡献-核查期内企业实际形成的税收贡献。</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（三）违反产值能耗的违约责任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经核查，丙方</w:t>
      </w:r>
      <w:r>
        <w:rPr>
          <w:rFonts w:hint="eastAsia" w:ascii="仿宋_GB2312" w:hAnsi="仿宋_GB2312" w:eastAsia="仿宋_GB2312" w:cs="仿宋_GB2312"/>
          <w:b w:val="0"/>
          <w:bCs w:val="0"/>
          <w:color w:val="auto"/>
          <w:kern w:val="0"/>
          <w:sz w:val="32"/>
          <w:szCs w:val="32"/>
          <w:highlight w:val="none"/>
          <w:u w:val="none"/>
          <w:lang w:eastAsia="zh-CN"/>
        </w:rPr>
        <w:t>产值</w:t>
      </w:r>
      <w:r>
        <w:rPr>
          <w:rFonts w:hint="eastAsia" w:ascii="仿宋_GB2312" w:hAnsi="仿宋_GB2312" w:eastAsia="仿宋_GB2312" w:cs="仿宋_GB2312"/>
          <w:b w:val="0"/>
          <w:bCs w:val="0"/>
          <w:color w:val="auto"/>
          <w:kern w:val="0"/>
          <w:sz w:val="32"/>
          <w:szCs w:val="32"/>
          <w:highlight w:val="none"/>
          <w:u w:val="none"/>
        </w:rPr>
        <w:t>能耗</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r>
        <w:rPr>
          <w:rFonts w:hint="eastAsia" w:ascii="仿宋_GB2312" w:hAnsi="仿宋_GB2312" w:eastAsia="仿宋_GB2312" w:cs="仿宋_GB2312"/>
          <w:color w:val="000000" w:themeColor="text1"/>
          <w:sz w:val="32"/>
          <w:szCs w:val="32"/>
          <w:highlight w:val="none"/>
          <w14:textFill>
            <w14:solidFill>
              <w14:schemeClr w14:val="tx1"/>
            </w14:solidFill>
          </w14:textFill>
        </w:rPr>
        <w:t>约定要求的，丙方应向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w:t>
      </w: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超标部分能耗费用的10%</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作为该阶段性核查不合格违约金。</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超标部分能耗费用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kern w:val="0"/>
          <w:sz w:val="32"/>
          <w:szCs w:val="32"/>
          <w:highlight w:val="none"/>
          <w:u w:val="none"/>
        </w:rPr>
        <w:t>（实际</w:t>
      </w: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-承诺</w:t>
      </w: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）×实际产值×折电系数。</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（四）违反迁入限制的违约责任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jc w:val="lef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丙方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违反</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本协议第六条第（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14:textFill>
            <w14:solidFill>
              <w14:schemeClr w14:val="tx1"/>
            </w14:solidFill>
          </w14:textFill>
        </w:rPr>
        <w:t>约定要求的，</w:t>
      </w:r>
      <w:r>
        <w:rPr>
          <w:rFonts w:hint="eastAsia" w:ascii="仿宋_GB2312" w:hAnsi="仿宋_GB2312" w:eastAsia="仿宋_GB2312" w:cs="仿宋_GB2312"/>
          <w:b w:val="0"/>
          <w:bCs w:val="0"/>
          <w:color w:val="auto"/>
          <w:sz w:val="32"/>
          <w:szCs w:val="32"/>
          <w:highlight w:val="none"/>
          <w:u w:val="none"/>
        </w:rPr>
        <w:t>甲方有权要求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w:t>
      </w:r>
      <w:r>
        <w:rPr>
          <w:rFonts w:hint="eastAsia" w:ascii="仿宋_GB2312" w:hAnsi="仿宋_GB2312" w:eastAsia="仿宋_GB2312" w:cs="仿宋_GB2312"/>
          <w:b w:val="0"/>
          <w:bCs w:val="0"/>
          <w:color w:val="auto"/>
          <w:sz w:val="32"/>
          <w:szCs w:val="32"/>
          <w:highlight w:val="none"/>
          <w:u w:val="none"/>
        </w:rPr>
        <w:t>限期改正</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丙方应按购房总价款的5%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支付违约金，且不因此解除丙方继续履行的义务。</w:t>
      </w:r>
      <w:r>
        <w:rPr>
          <w:rFonts w:hint="eastAsia" w:ascii="仿宋_GB2312" w:hAnsi="仿宋_GB2312" w:eastAsia="仿宋_GB2312" w:cs="仿宋_GB2312"/>
          <w:b w:val="0"/>
          <w:bCs w:val="0"/>
          <w:color w:val="auto"/>
          <w:sz w:val="32"/>
          <w:szCs w:val="32"/>
          <w:highlight w:val="none"/>
          <w:u w:val="none"/>
        </w:rPr>
        <w:t>拒不改正的，</w:t>
      </w:r>
      <w:r>
        <w:rPr>
          <w:rFonts w:hint="eastAsia" w:ascii="仿宋_GB2312" w:hAnsi="仿宋_GB2312" w:eastAsia="仿宋_GB2312" w:cs="仿宋_GB2312"/>
          <w:b w:val="0"/>
          <w:bCs w:val="0"/>
          <w:color w:val="auto"/>
          <w:sz w:val="32"/>
          <w:szCs w:val="32"/>
          <w:highlight w:val="none"/>
          <w:u w:val="none"/>
          <w:lang w:eastAsia="zh-CN"/>
        </w:rPr>
        <w:t>按照本条第（一）款进行处理，并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2项强制退出。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jc w:val="lef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乙方或丙方不配合甲方核查的，</w:t>
      </w:r>
      <w:r>
        <w:rPr>
          <w:rFonts w:hint="eastAsia" w:ascii="仿宋_GB2312" w:hAnsi="仿宋_GB2312" w:eastAsia="仿宋_GB2312" w:cs="仿宋_GB2312"/>
          <w:b w:val="0"/>
          <w:bCs w:val="0"/>
          <w:color w:val="auto"/>
          <w:sz w:val="32"/>
          <w:szCs w:val="32"/>
          <w:highlight w:val="none"/>
          <w:u w:val="none"/>
          <w:lang w:eastAsia="zh-CN"/>
        </w:rPr>
        <w:t>按照本条第（一）款进行处理，并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每次其应向甲方支付20万元违约金，且不因此解除配合核查义务。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jc w:val="left"/>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方应在甲方出具通知书20个自然日内缴纳违约金，逾期未缴纳则每日加收1‰的违约金。</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CESI仿宋-GB2312" w:hAnsi="CESI仿宋-GB2312" w:eastAsia="CESI仿宋-GB2312" w:cs="CESI仿宋-GB2312"/>
          <w:color w:val="000000" w:themeColor="text1"/>
          <w:sz w:val="30"/>
          <w:szCs w:val="30"/>
          <w14:textFill>
            <w14:solidFill>
              <w14:schemeClr w14:val="tx1"/>
            </w14:solidFill>
          </w14:textFill>
        </w:rPr>
      </w:pPr>
      <w:bookmarkStart w:id="0" w:name="_Hlk41639221"/>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（七）</w:t>
      </w:r>
      <w:bookmarkEnd w:id="0"/>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丙方因不可抗力不能履行协议的，应当及时通知甲方和乙方，以减轻可能给甲乙两方造成的损失，并应当在合理期限内提供证明。丙方可向甲方提出书面申请，由甲方报龙华区人民政府审定同意后，根据不可抗力的影响，可以部分或者全部免除责任，但是法律另有规定的除外。丙方迟延履行后发生不可抗力的，不免除其违约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1"/>
          <w:numId w:val="0"/>
        </w:numPr>
        <w:kinsoku/>
        <w:wordWrap/>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八、</w:t>
      </w:r>
      <w:r>
        <w:rPr>
          <w:rFonts w:hint="eastAsia" w:ascii="黑体" w:hAnsi="黑体" w:eastAsia="黑体" w:cs="黑体"/>
          <w:b w:val="0"/>
          <w:bCs/>
          <w:color w:val="000000" w:themeColor="text1"/>
          <w:sz w:val="32"/>
          <w:szCs w:val="32"/>
          <w:highlight w:val="none"/>
          <w14:textFill>
            <w14:solidFill>
              <w14:schemeClr w14:val="tx1"/>
            </w14:solidFill>
          </w14:textFill>
        </w:rPr>
        <w:t>退出机制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（一）乙方退出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项目产业用房及配套用房销售（包括预售）完毕，且</w:t>
      </w:r>
      <w:r>
        <w:rPr>
          <w:rFonts w:hint="eastAsia" w:ascii="仿宋_GB2312" w:hAnsi="仿宋_GB2312" w:eastAsia="仿宋_GB2312" w:cs="仿宋_GB2312"/>
          <w:color w:val="000000" w:themeColor="text1"/>
          <w:sz w:val="32"/>
          <w:szCs w:val="32"/>
          <w:highlight w:val="none"/>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不再作为产业园区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运营管理及产业配套服务方提供相关服务的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在本协议项下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的权利和义务同步解除</w:t>
      </w:r>
      <w:r>
        <w:rPr>
          <w:rFonts w:hint="eastAsia" w:ascii="仿宋_GB2312" w:hAnsi="仿宋_GB2312" w:eastAsia="仿宋_GB2312" w:cs="仿宋_GB2312"/>
          <w:color w:val="000000" w:themeColor="text1"/>
          <w:sz w:val="32"/>
          <w:szCs w:val="32"/>
          <w:highlight w:val="none"/>
          <w14:textFill>
            <w14:solidFill>
              <w14:schemeClr w14:val="tx1"/>
            </w14:solidFill>
          </w14:textFill>
        </w:rPr>
        <w:t>，丙方应与甲方或甲方指定的第三方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在本协议内容的基础上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重新</w:t>
      </w:r>
      <w:r>
        <w:rPr>
          <w:rFonts w:hint="eastAsia" w:ascii="仿宋_GB2312" w:hAnsi="仿宋_GB2312" w:eastAsia="仿宋_GB2312" w:cs="仿宋_GB2312"/>
          <w:color w:val="000000" w:themeColor="text1"/>
          <w:sz w:val="32"/>
          <w:szCs w:val="32"/>
          <w:highlight w:val="none"/>
          <w14:textFill>
            <w14:solidFill>
              <w14:schemeClr w14:val="tx1"/>
            </w14:solidFill>
          </w14:textFill>
        </w:rPr>
        <w:t>签署产业发展监管协议。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（二）丙方退出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主动退出。参照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4项</w:t>
      </w:r>
      <w:r>
        <w:rPr>
          <w:rFonts w:hint="eastAsia" w:ascii="仿宋_GB2312" w:hAnsi="仿宋_GB2312" w:eastAsia="仿宋_GB2312" w:cs="仿宋_GB2312"/>
          <w:color w:val="000000" w:themeColor="text1"/>
          <w:sz w:val="32"/>
          <w:szCs w:val="32"/>
          <w:highlight w:val="none"/>
          <w14:textFill>
            <w14:solidFill>
              <w14:schemeClr w14:val="tx1"/>
            </w14:solidFill>
          </w14:textFill>
        </w:rPr>
        <w:t>“转让限制”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强制退出。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）丙方自完成不动产登记之日起，5年累计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未达到或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违反本协议第六条第（二）款第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承诺内容的，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本协议约定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支付违约金后强制退出，在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规定时间内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退还标的物业，且一年内不得入选遴选企业库。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w:t>
      </w:r>
      <w:r>
        <w:rPr>
          <w:rFonts w:hint="eastAsia" w:ascii="仿宋_GB2312" w:hAnsi="仿宋_GB2312" w:eastAsia="仿宋_GB2312" w:cs="仿宋_GB2312"/>
          <w:color w:val="000000" w:themeColor="text1"/>
          <w:sz w:val="32"/>
          <w:szCs w:val="32"/>
          <w:highlight w:val="none"/>
          <w14:textFill>
            <w14:solidFill>
              <w14:schemeClr w14:val="tx1"/>
            </w14:solidFill>
          </w14:textFill>
        </w:rPr>
        <w:t>在使用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期间出现违规出租、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转让、抵押、</w:t>
      </w:r>
      <w:r>
        <w:rPr>
          <w:rFonts w:hint="eastAsia" w:ascii="仿宋_GB2312" w:hAnsi="仿宋_GB2312" w:eastAsia="仿宋_GB2312" w:cs="仿宋_GB2312"/>
          <w:color w:val="000000" w:themeColor="text1"/>
          <w:sz w:val="32"/>
          <w:szCs w:val="32"/>
          <w:highlight w:val="none"/>
          <w14:textFill>
            <w14:solidFill>
              <w14:schemeClr w14:val="tx1"/>
            </w14:solidFill>
          </w14:textFill>
        </w:rPr>
        <w:t>改变其原有使用功能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、产业规划不符合产业定位</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按《买卖合同》或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14:textFill>
            <w14:solidFill>
              <w14:schemeClr w14:val="tx1"/>
            </w14:solidFill>
          </w14:textFill>
        </w:rPr>
        <w:t>协议约定使用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行为的，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须在规定时间内</w:t>
      </w:r>
      <w:r>
        <w:rPr>
          <w:rFonts w:hint="eastAsia" w:ascii="仿宋_GB2312" w:hAnsi="仿宋_GB2312" w:eastAsia="仿宋_GB2312" w:cs="仿宋_GB2312"/>
          <w:color w:val="000000" w:themeColor="text1"/>
          <w:sz w:val="32"/>
          <w:szCs w:val="32"/>
          <w:highlight w:val="none"/>
          <w14:textFill>
            <w14:solidFill>
              <w14:schemeClr w14:val="tx1"/>
            </w14:solidFill>
          </w14:textFill>
        </w:rPr>
        <w:t>退还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标的物业，且</w:t>
      </w:r>
      <w:r>
        <w:rPr>
          <w:rFonts w:hint="eastAsia" w:ascii="仿宋_GB2312" w:hAnsi="仿宋_GB2312" w:eastAsia="仿宋_GB2312" w:cs="仿宋_GB2312"/>
          <w:color w:val="000000" w:themeColor="text1"/>
          <w:sz w:val="32"/>
          <w:szCs w:val="32"/>
          <w:highlight w:val="none"/>
          <w14:textFill>
            <w14:solidFill>
              <w14:schemeClr w14:val="tx1"/>
            </w14:solidFill>
          </w14:textFill>
        </w:rPr>
        <w:t>5年内不得纳入遴选企业库、不得租赁或购买我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政策性产业用房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firstLine="640" w:firstLineChars="0"/>
        <w:textAlignment w:val="auto"/>
        <w:outlineLvl w:val="9"/>
        <w:rPr>
          <w:rFonts w:hint="eastAsia" w:ascii="CESI仿宋-GB2312" w:hAnsi="CESI仿宋-GB2312" w:eastAsia="CESI仿宋-GB2312" w:cs="CESI仿宋-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强制退出的，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须</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甲方发出书面通知后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0天</w:t>
      </w:r>
      <w:r>
        <w:rPr>
          <w:rFonts w:hint="eastAsia" w:ascii="仿宋_GB2312" w:hAnsi="仿宋_GB2312" w:eastAsia="仿宋_GB2312" w:cs="仿宋_GB2312"/>
          <w:color w:val="000000" w:themeColor="text1"/>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退还</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优先由区政府或其指定单位回购，回购价以购置价格为原值折旧后计算确定。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九</w:t>
      </w:r>
      <w:r>
        <w:rPr>
          <w:rFonts w:hint="eastAsia" w:ascii="黑体" w:hAnsi="黑体" w:eastAsia="黑体" w:cs="黑体"/>
          <w:b w:val="0"/>
          <w:bCs/>
          <w:color w:val="000000" w:themeColor="text1"/>
          <w:sz w:val="32"/>
          <w:szCs w:val="32"/>
          <w:highlight w:val="none"/>
          <w14:textFill>
            <w14:solidFill>
              <w14:schemeClr w14:val="tx1"/>
            </w14:solidFill>
          </w14:textFill>
        </w:rPr>
        <w:t>、争议解决方式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CESI仿宋-GB2312" w:hAnsi="CESI仿宋-GB2312" w:eastAsia="CESI仿宋-GB2312" w:cs="CESI仿宋-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因本协议所产生纠纷的，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方首先应友好协商解决。凡因本协议引起的或与本协议有关的任何争议，经友好协商无法达成一致的，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甲乙丙三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方同意向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区商事调解院申请调解。调解不成的，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争议解决条款由甲方所在地有管辖权的人民法院管辖，</w:t>
      </w:r>
      <w:r>
        <w:rPr>
          <w:rFonts w:hint="eastAsia" w:ascii="仿宋_GB2312" w:hAnsi="仿宋_GB2312" w:eastAsia="仿宋_GB2312" w:cs="仿宋_GB2312"/>
          <w:color w:val="000000" w:themeColor="text1"/>
          <w:sz w:val="32"/>
          <w:szCs w:val="32"/>
          <w:highlight w:val="none"/>
          <w14:textFill>
            <w14:solidFill>
              <w14:schemeClr w14:val="tx1"/>
            </w14:solidFill>
          </w14:textFill>
        </w:rPr>
        <w:t>任何一方有权向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甲方所在地有管辖权的人民法院</w:t>
      </w:r>
      <w:r>
        <w:rPr>
          <w:rFonts w:hint="eastAsia" w:ascii="仿宋_GB2312" w:hAnsi="仿宋_GB2312" w:eastAsia="仿宋_GB2312" w:cs="仿宋_GB2312"/>
          <w:color w:val="000000" w:themeColor="text1"/>
          <w:sz w:val="32"/>
          <w:szCs w:val="32"/>
          <w:highlight w:val="none"/>
          <w14:textFill>
            <w14:solidFill>
              <w14:schemeClr w14:val="tx1"/>
            </w14:solidFill>
          </w14:textFill>
        </w:rPr>
        <w:t>提起诉讼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十</w:t>
      </w:r>
      <w:r>
        <w:rPr>
          <w:rFonts w:hint="eastAsia" w:ascii="黑体" w:hAnsi="黑体" w:eastAsia="黑体" w:cs="黑体"/>
          <w:b w:val="0"/>
          <w:bCs/>
          <w:color w:val="000000" w:themeColor="text1"/>
          <w:sz w:val="32"/>
          <w:szCs w:val="32"/>
          <w:highlight w:val="none"/>
          <w14:textFill>
            <w14:solidFill>
              <w14:schemeClr w14:val="tx1"/>
            </w14:solidFill>
          </w14:textFill>
        </w:rPr>
        <w:t>、其他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非特别注明的情况下，本协议条款货币种类均为人民币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u w:val="none"/>
          <w:lang w:eastAsia="zh-CN"/>
        </w:rPr>
        <w:t>所称年期为自然年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auto"/>
          <w:kern w:val="0"/>
          <w:sz w:val="32"/>
          <w:szCs w:val="32"/>
          <w:highlight w:val="none"/>
          <w:u w:val="none"/>
        </w:rPr>
        <w:t>本协议所称</w:t>
      </w:r>
      <w:r>
        <w:rPr>
          <w:rFonts w:hint="eastAsia" w:ascii="仿宋_GB2312" w:hAnsi="仿宋_GB2312" w:eastAsia="仿宋_GB2312" w:cs="仿宋_GB2312"/>
          <w:color w:val="auto"/>
          <w:sz w:val="32"/>
          <w:szCs w:val="32"/>
          <w:highlight w:val="none"/>
          <w:u w:val="none"/>
        </w:rPr>
        <w:t>增加值、</w:t>
      </w:r>
      <w:r>
        <w:rPr>
          <w:rFonts w:hint="eastAsia" w:ascii="仿宋_GB2312" w:hAnsi="仿宋_GB2312" w:eastAsia="仿宋_GB2312" w:cs="仿宋_GB2312"/>
          <w:color w:val="000000" w:themeColor="text1"/>
          <w:sz w:val="32"/>
          <w:szCs w:val="32"/>
          <w:highlight w:val="none"/>
          <w14:textFill>
            <w14:solidFill>
              <w14:schemeClr w14:val="tx1"/>
            </w14:solidFill>
          </w14:textFill>
        </w:rPr>
        <w:t>产值规模（营业收入）</w:t>
      </w:r>
      <w:r>
        <w:rPr>
          <w:rFonts w:hint="eastAsia" w:ascii="仿宋_GB2312" w:hAnsi="仿宋_GB2312" w:eastAsia="仿宋_GB2312" w:cs="仿宋_GB2312"/>
          <w:color w:val="auto"/>
          <w:sz w:val="32"/>
          <w:szCs w:val="32"/>
          <w:highlight w:val="none"/>
          <w:u w:val="none"/>
          <w:lang w:eastAsia="zh-CN"/>
        </w:rPr>
        <w:t>、纳税额</w:t>
      </w:r>
      <w:r>
        <w:rPr>
          <w:rFonts w:hint="eastAsia" w:ascii="仿宋_GB2312" w:hAnsi="仿宋_GB2312" w:eastAsia="仿宋_GB2312" w:cs="仿宋_GB2312"/>
          <w:color w:val="auto"/>
          <w:kern w:val="0"/>
          <w:sz w:val="32"/>
          <w:szCs w:val="32"/>
          <w:highlight w:val="none"/>
          <w:u w:val="none"/>
        </w:rPr>
        <w:t>的统计</w:t>
      </w:r>
      <w:r>
        <w:rPr>
          <w:rFonts w:hint="eastAsia" w:ascii="仿宋_GB2312" w:hAnsi="仿宋_GB2312" w:eastAsia="仿宋_GB2312" w:cs="仿宋_GB2312"/>
          <w:color w:val="auto"/>
          <w:kern w:val="0"/>
          <w:sz w:val="32"/>
          <w:szCs w:val="32"/>
          <w:highlight w:val="none"/>
          <w:u w:val="none"/>
          <w:lang w:eastAsia="zh-CN"/>
        </w:rPr>
        <w:t>核算</w:t>
      </w:r>
      <w:r>
        <w:rPr>
          <w:rFonts w:hint="eastAsia" w:ascii="仿宋_GB2312" w:hAnsi="仿宋_GB2312" w:eastAsia="仿宋_GB2312" w:cs="仿宋_GB2312"/>
          <w:color w:val="auto"/>
          <w:kern w:val="0"/>
          <w:sz w:val="32"/>
          <w:szCs w:val="32"/>
          <w:highlight w:val="none"/>
          <w:u w:val="none"/>
        </w:rPr>
        <w:t>口径以</w:t>
      </w:r>
      <w:r>
        <w:rPr>
          <w:rFonts w:hint="eastAsia" w:ascii="仿宋_GB2312" w:hAnsi="仿宋_GB2312" w:eastAsia="仿宋_GB2312" w:cs="仿宋_GB2312"/>
          <w:color w:val="auto"/>
          <w:kern w:val="0"/>
          <w:sz w:val="32"/>
          <w:szCs w:val="32"/>
          <w:highlight w:val="none"/>
          <w:u w:val="none"/>
          <w:lang w:eastAsia="zh-CN"/>
        </w:rPr>
        <w:t>乙方及其</w:t>
      </w:r>
      <w:r>
        <w:rPr>
          <w:rFonts w:hint="eastAsia" w:ascii="仿宋_GB2312" w:hAnsi="仿宋_GB2312" w:eastAsia="仿宋_GB2312" w:cs="仿宋_GB2312"/>
          <w:color w:val="auto"/>
          <w:kern w:val="0"/>
          <w:sz w:val="32"/>
          <w:szCs w:val="32"/>
          <w:highlight w:val="none"/>
          <w:u w:val="none"/>
        </w:rPr>
        <w:t>控股50%（含）以上</w:t>
      </w:r>
      <w:r>
        <w:rPr>
          <w:rFonts w:hint="eastAsia" w:ascii="仿宋_GB2312" w:hAnsi="仿宋_GB2312" w:eastAsia="仿宋_GB2312" w:cs="仿宋_GB2312"/>
          <w:color w:val="auto"/>
          <w:kern w:val="0"/>
          <w:sz w:val="32"/>
          <w:szCs w:val="32"/>
          <w:highlight w:val="none"/>
          <w:u w:val="none"/>
          <w:lang w:eastAsia="zh-CN"/>
        </w:rPr>
        <w:t>且在龙华区纳统</w:t>
      </w:r>
      <w:r>
        <w:rPr>
          <w:rFonts w:hint="eastAsia" w:ascii="仿宋_GB2312" w:hAnsi="仿宋_GB2312" w:eastAsia="仿宋_GB2312" w:cs="仿宋_GB2312"/>
          <w:color w:val="auto"/>
          <w:kern w:val="0"/>
          <w:sz w:val="32"/>
          <w:szCs w:val="32"/>
          <w:highlight w:val="none"/>
          <w:u w:val="none"/>
        </w:rPr>
        <w:t>的一级、二级子公司作为统计核算口径，各年度股权关系以当年12月3</w:t>
      </w: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日股权登记状况为准。</w:t>
      </w:r>
      <w:r>
        <w:rPr>
          <w:rFonts w:hint="eastAsia" w:ascii="仿宋_GB2312" w:hAnsi="仿宋_GB2312" w:eastAsia="仿宋_GB2312" w:cs="仿宋_GB2312"/>
          <w:color w:val="auto"/>
          <w:sz w:val="32"/>
          <w:szCs w:val="32"/>
          <w:highlight w:val="none"/>
          <w:u w:val="none"/>
        </w:rPr>
        <w:t>增加值按照收入法计算，统计核算以具备资质的第三方审计机构出具的财务审计报告或经龙华区统计部门核实的统计数据作为数据依据；</w:t>
      </w:r>
      <w:r>
        <w:rPr>
          <w:rFonts w:hint="eastAsia" w:ascii="仿宋_GB2312" w:hAnsi="仿宋_GB2312" w:eastAsia="仿宋_GB2312" w:cs="仿宋_GB2312"/>
          <w:color w:val="000000" w:themeColor="text1"/>
          <w:sz w:val="32"/>
          <w:szCs w:val="32"/>
          <w:highlight w:val="none"/>
          <w14:textFill>
            <w14:solidFill>
              <w14:schemeClr w14:val="tx1"/>
            </w14:solidFill>
          </w14:textFill>
        </w:rPr>
        <w:t>产值规模（营业收入）</w:t>
      </w:r>
      <w:r>
        <w:rPr>
          <w:rFonts w:hint="eastAsia" w:ascii="仿宋_GB2312" w:hAnsi="仿宋_GB2312" w:eastAsia="仿宋_GB2312" w:cs="仿宋_GB2312"/>
          <w:color w:val="auto"/>
          <w:sz w:val="32"/>
          <w:szCs w:val="32"/>
          <w:highlight w:val="none"/>
          <w:u w:val="none"/>
        </w:rPr>
        <w:t>统计核算以经龙华区统计部门核实的统计定报数据作为依据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纳税额指企业依法缴纳的各类税收总额，</w:t>
      </w:r>
      <w:r>
        <w:rPr>
          <w:rFonts w:hint="eastAsia" w:ascii="仿宋_GB2312" w:hAnsi="仿宋_GB2312" w:eastAsia="仿宋_GB2312" w:cs="仿宋_GB2312"/>
          <w:color w:val="auto"/>
          <w:sz w:val="32"/>
          <w:szCs w:val="32"/>
          <w:highlight w:val="none"/>
          <w:u w:val="none"/>
        </w:rPr>
        <w:t>按照</w:t>
      </w:r>
      <w:r>
        <w:rPr>
          <w:rFonts w:hint="eastAsia" w:ascii="仿宋_GB2312" w:hAnsi="仿宋_GB2312" w:eastAsia="仿宋_GB2312" w:cs="仿宋_GB2312"/>
          <w:color w:val="auto"/>
          <w:kern w:val="0"/>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lang w:val="en-US" w:eastAsia="zh-CN"/>
        </w:rPr>
        <w:t>企业向税务部门缴纳的增值税（不含即征即退税款）+城市维护建设税+企业所得税+房产税+印花税+城镇土地使用税+车船税+车辆购置税+契税+代扣代缴的员工综合所得个人所得税+50%经税务部门认可的生产企业出口货物免抵退税申报汇总表中当期免抵税额本年累计数-退还增值税留抵税额</w:t>
      </w:r>
      <w:r>
        <w:rPr>
          <w:rFonts w:hint="eastAsia" w:ascii="仿宋_GB2312" w:hAnsi="仿宋_GB2312" w:eastAsia="仿宋_GB2312" w:cs="仿宋_GB2312"/>
          <w:color w:val="auto"/>
          <w:kern w:val="0"/>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rPr>
        <w:t>计算</w:t>
      </w:r>
      <w:r>
        <w:rPr>
          <w:rFonts w:hint="eastAsia" w:ascii="仿宋_GB2312" w:hAnsi="仿宋_GB2312" w:eastAsia="仿宋_GB2312" w:cs="仿宋_GB2312"/>
          <w:color w:val="auto"/>
          <w:sz w:val="32"/>
          <w:szCs w:val="32"/>
          <w:highlight w:val="none"/>
          <w:u w:val="none"/>
          <w:lang w:val="en-US" w:eastAsia="zh-CN"/>
        </w:rPr>
        <w:t>，统计核算以纳税证明作为依据；</w:t>
      </w:r>
      <w:r>
        <w:rPr>
          <w:rFonts w:hint="eastAsia" w:ascii="仿宋_GB2312" w:hAnsi="仿宋_GB2312" w:eastAsia="仿宋_GB2312" w:cs="仿宋_GB2312"/>
          <w:color w:val="auto"/>
          <w:kern w:val="0"/>
          <w:sz w:val="32"/>
          <w:szCs w:val="32"/>
          <w:highlight w:val="none"/>
          <w:u w:val="none"/>
          <w:lang w:eastAsia="zh-CN"/>
        </w:rPr>
        <w:t>耗电量</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lang w:val="en-US" w:eastAsia="zh-CN"/>
        </w:rPr>
        <w:t>龙华区供电部门出具的电费缴纳单据作为</w:t>
      </w:r>
      <w:r>
        <w:rPr>
          <w:rFonts w:hint="eastAsia" w:ascii="仿宋_GB2312" w:hAnsi="仿宋_GB2312" w:eastAsia="仿宋_GB2312" w:cs="仿宋_GB2312"/>
          <w:color w:val="auto"/>
          <w:sz w:val="32"/>
          <w:szCs w:val="32"/>
          <w:highlight w:val="none"/>
          <w:u w:val="none"/>
          <w:lang w:eastAsia="zh-CN"/>
        </w:rPr>
        <w:t>依据，折电系数为1.229吨标准煤/万千瓦时。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本协议履行过程中，对协议中部分名词含义的理解存在不同意见的，以甲方的解释为准。</w:t>
      </w:r>
    </w:p>
    <w:p>
      <w:pPr>
        <w:pStyle w:val="8"/>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eastAsia="仿宋_GB2312"/>
          <w:sz w:val="32"/>
          <w:szCs w:val="32"/>
          <w:lang w:eastAsia="zh-CN"/>
        </w:rPr>
      </w:pPr>
      <w:r>
        <w:rPr>
          <w:rFonts w:hint="eastAsia" w:ascii="楷体_GB2312" w:hAnsi="楷体_GB2312" w:eastAsia="楷体_GB2312" w:cs="楷体_GB2312"/>
          <w:color w:val="000000"/>
          <w:sz w:val="32"/>
          <w:szCs w:val="32"/>
          <w:lang w:eastAsia="zh-CN"/>
        </w:rPr>
        <w:t>（四）</w:t>
      </w:r>
      <w:r>
        <w:rPr>
          <w:rFonts w:ascii="仿宋_GB2312" w:eastAsia="仿宋_GB2312" w:cs="仿宋_GB2312"/>
          <w:color w:val="000000"/>
          <w:sz w:val="32"/>
          <w:szCs w:val="32"/>
        </w:rPr>
        <w:t>三方一致同意</w:t>
      </w:r>
      <w:r>
        <w:rPr>
          <w:rFonts w:hint="eastAsia" w:ascii="仿宋_GB2312" w:eastAsia="仿宋_GB2312" w:cs="仿宋_GB2312"/>
          <w:color w:val="000000"/>
          <w:sz w:val="32"/>
          <w:szCs w:val="32"/>
        </w:rPr>
        <w:t>，不得向任何其他方透露在合作过程中形成或获知的政府秘密、商业秘密等相关资料及非公开信息（无论是以口头、书面或其他形式），亦不得将保密资料的部分或全部用于本协议书约定事项以外的其它用途，但甲方因政府信息公开、部门间信息共享、审计等履职工作需要，向特定或不特定主体披露上述信息的，不视为违反此约定。三方的保密义务自本协议书生效之日起，至上述保密信息完全公开或被公众完全知悉时止。三方的保密义务长期有效，不因本协议书的无效、变更、解除或终止而免除</w:t>
      </w:r>
      <w:r>
        <w:rPr>
          <w:rFonts w:hint="eastAsia" w:ascii="仿宋_GB2312" w:eastAsia="仿宋_GB2312" w:cs="仿宋_GB2312"/>
          <w:color w:val="000000"/>
          <w:sz w:val="32"/>
          <w:szCs w:val="32"/>
          <w:lang w:eastAsia="zh-CN"/>
        </w:rPr>
        <w:t>。</w:t>
      </w:r>
    </w:p>
    <w:p>
      <w:pPr>
        <w:pStyle w:val="8"/>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sz w:val="32"/>
          <w:szCs w:val="32"/>
        </w:rPr>
        <w:t>本协议项下任何一方向另外两方发出的通知、信件、数据电文等，应当发送至本协议首部约定的地址、联系人、通信终端和</w:t>
      </w: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color w:val="000000"/>
          <w:sz w:val="32"/>
          <w:szCs w:val="32"/>
        </w:rPr>
        <w:t>。一方当事人变更名称、地址、联系人、通信终端或</w:t>
      </w: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color w:val="000000"/>
          <w:sz w:val="32"/>
          <w:szCs w:val="32"/>
        </w:rPr>
        <w:t>的，应当在变更后三个自然日内及时书面通知另外两方当事人，另外两方当事人实际收到变更通知前的送达仍为有效送达，电子送达与书面送达具有同等的法律效力。</w:t>
      </w:r>
    </w:p>
    <w:p>
      <w:pPr>
        <w:pStyle w:val="8"/>
        <w:keepNext w:val="0"/>
        <w:keepLines w:val="0"/>
        <w:pageBreakBefore w:val="0"/>
        <w:widowControl/>
        <w:kinsoku/>
        <w:wordWrap/>
        <w:overflowPunct/>
        <w:topLinePunct w:val="0"/>
        <w:autoSpaceDE/>
        <w:autoSpaceDN/>
        <w:bidi w:val="0"/>
        <w:adjustRightInd w:val="0"/>
        <w:snapToGrid w:val="0"/>
        <w:spacing w:line="560" w:lineRule="exact"/>
        <w:ind w:left="17" w:firstLine="640" w:firstLineChars="200"/>
        <w:jc w:val="both"/>
        <w:textAlignment w:val="auto"/>
        <w:outlineLvl w:val="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sz w:val="32"/>
          <w:szCs w:val="32"/>
        </w:rPr>
        <w:t>三方将按如下方式确定通知被视为正式送达的日期。以专人递送的，接收人签收之日视为送达之日。以传真方式发出的，以发件方发送后打印出的发送确认单所示时间视为送达之日。以特快专递形式发出的，接收日期视为送达之日。拒收邮件或通讯地址变更未告知的，邮件退还之日视为送达之日。以电子邮件、手机短信、即时通讯软件信息送达的，以发出时间为送达时间。本协议项下的通知自送达之日发生效力</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十一</w:t>
      </w:r>
      <w:r>
        <w:rPr>
          <w:rFonts w:hint="eastAsia" w:ascii="黑体" w:hAnsi="黑体" w:eastAsia="黑体" w:cs="黑体"/>
          <w:b w:val="0"/>
          <w:bCs/>
          <w:color w:val="000000" w:themeColor="text1"/>
          <w:sz w:val="32"/>
          <w:szCs w:val="32"/>
          <w:highlight w:val="none"/>
          <w14:textFill>
            <w14:solidFill>
              <w14:schemeClr w14:val="tx1"/>
            </w14:solidFill>
          </w14:textFill>
        </w:rPr>
        <w:t>、合同效力</w:t>
      </w:r>
    </w:p>
    <w:p>
      <w:pPr>
        <w:keepNext w:val="0"/>
        <w:keepLines w:val="0"/>
        <w:pageBreakBefore w:val="0"/>
        <w:numPr>
          <w:ilvl w:val="0"/>
          <w:numId w:val="0"/>
        </w:numPr>
        <w:kinsoku/>
        <w:wordWrap/>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本协议书一式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玖</w:t>
      </w:r>
      <w:r>
        <w:rPr>
          <w:rFonts w:hint="eastAsia" w:ascii="仿宋_GB2312" w:hAnsi="仿宋_GB2312" w:eastAsia="仿宋_GB2312" w:cs="仿宋_GB2312"/>
          <w:color w:val="000000" w:themeColor="text1"/>
          <w:sz w:val="32"/>
          <w:szCs w:val="32"/>
          <w:highlight w:val="none"/>
          <w14:textFill>
            <w14:solidFill>
              <w14:schemeClr w14:val="tx1"/>
            </w14:solidFill>
          </w14:textFill>
        </w:rPr>
        <w:t>份，具有同等法律效力，甲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叁</w:t>
      </w:r>
      <w:r>
        <w:rPr>
          <w:rFonts w:hint="eastAsia" w:ascii="仿宋_GB2312" w:hAnsi="仿宋_GB2312" w:eastAsia="仿宋_GB2312" w:cs="仿宋_GB2312"/>
          <w:color w:val="000000" w:themeColor="text1"/>
          <w:sz w:val="32"/>
          <w:szCs w:val="32"/>
          <w:highlight w:val="none"/>
          <w14:textFill>
            <w14:solidFill>
              <w14:schemeClr w14:val="tx1"/>
            </w14:solidFill>
          </w14:textFill>
        </w:rPr>
        <w:t>份。</w:t>
      </w:r>
    </w:p>
    <w:p>
      <w:pPr>
        <w:keepNext w:val="0"/>
        <w:keepLines w:val="0"/>
        <w:pageBreakBefore w:val="0"/>
        <w:numPr>
          <w:ilvl w:val="0"/>
          <w:numId w:val="0"/>
        </w:numPr>
        <w:kinsoku/>
        <w:wordWrap/>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本协议作为编号为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的《买卖合同》的附件以及组成部分。</w:t>
      </w:r>
    </w:p>
    <w:p>
      <w:pPr>
        <w:keepNext w:val="0"/>
        <w:keepLines w:val="0"/>
        <w:pageBreakBefore w:val="0"/>
        <w:numPr>
          <w:ilvl w:val="0"/>
          <w:numId w:val="0"/>
        </w:numPr>
        <w:kinsoku/>
        <w:wordWrap/>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本协议书自甲乙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方签字盖章之日起生效。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本协议书未尽事宜，经甲乙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方协商一致，可另行签订补充协议，补充协议与本协议书具有同等法律效力。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（以下无正文）</w:t>
      </w:r>
    </w:p>
    <w:p>
      <w:pPr>
        <w:keepNext w:val="0"/>
        <w:keepLines w:val="0"/>
        <w:pageBreakBefore w:val="0"/>
        <w:kinsoku/>
        <w:wordWrap/>
        <w:topLinePunct w:val="0"/>
        <w:autoSpaceDE/>
        <w:autoSpaceDN/>
        <w:bidi w:val="0"/>
        <w:adjustRightInd/>
        <w:snapToGrid/>
        <w:spacing w:line="560" w:lineRule="exact"/>
        <w:textAlignment w:val="auto"/>
        <w:rPr>
          <w:rFonts w:hint="eastAsia" w:ascii="CESI仿宋-GB2312" w:hAnsi="CESI仿宋-GB2312" w:eastAsia="CESI仿宋-GB2312" w:cs="CESI仿宋-GB2312"/>
          <w:bCs/>
          <w:color w:val="000000" w:themeColor="text1"/>
          <w:sz w:val="30"/>
          <w:szCs w:val="30"/>
          <w:highlight w:val="none"/>
          <w14:textFill>
            <w14:solidFill>
              <w14:schemeClr w14:val="tx1"/>
            </w14:solidFill>
          </w14:textFill>
        </w:rPr>
      </w:pPr>
      <w:r>
        <w:rPr>
          <w:rFonts w:hint="eastAsia" w:ascii="CESI仿宋-GB2312" w:hAnsi="CESI仿宋-GB2312" w:eastAsia="CESI仿宋-GB2312" w:cs="CESI仿宋-GB2312"/>
          <w:bCs/>
          <w:color w:val="000000" w:themeColor="text1"/>
          <w:sz w:val="30"/>
          <w:szCs w:val="30"/>
          <w:highlight w:val="none"/>
          <w14:textFill>
            <w14:solidFill>
              <w14:schemeClr w14:val="tx1"/>
            </w14:solidFill>
          </w14:textFill>
        </w:rPr>
        <w:br w:type="page"/>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（本页为签署页）</w:t>
      </w:r>
    </w:p>
    <w:p>
      <w:pPr>
        <w:keepNext w:val="0"/>
        <w:keepLines w:val="0"/>
        <w:pageBreakBefore w:val="0"/>
        <w:kinsoku/>
        <w:wordWrap/>
        <w:overflowPunct/>
        <w:topLinePunct w:val="0"/>
        <w:autoSpaceDE/>
        <w:autoSpaceDN/>
        <w:bidi w:val="0"/>
        <w:adjustRightInd w:val="0"/>
        <w:snapToGrid w:val="0"/>
        <w:spacing w:line="560" w:lineRule="exact"/>
        <w:ind w:left="904" w:hanging="960" w:hangingChars="3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904" w:hanging="960" w:hangingChars="3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 xml:space="preserve">甲方（盖章）：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委托代理人：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pStyle w:val="3"/>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602" w:hanging="640" w:hanging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乙方（盖章）：</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委托代理人：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pStyle w:val="3"/>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602" w:hanging="640" w:hanging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方（盖章）：</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委托代理人：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签订日期：</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val="0"/>
        <w:snapToGrid w:val="0"/>
        <w:spacing w:line="560" w:lineRule="exact"/>
        <w:ind w:firstLine="4480" w:firstLineChars="1400"/>
        <w:textAlignment w:val="auto"/>
        <w:outlineLvl w:val="9"/>
        <w:rPr>
          <w:color w:val="000000" w:themeColor="text1"/>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签订地点：</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 xml:space="preserve">     </w:t>
      </w:r>
      <w:r>
        <w:rPr>
          <w:rFonts w:hint="eastAsia" w:ascii="CESI仿宋-GB2312" w:hAnsi="CESI仿宋-GB2312" w:eastAsia="CESI仿宋-GB2312" w:cs="CESI仿宋-GB2312"/>
          <w:b/>
          <w:color w:val="000000" w:themeColor="text1"/>
          <w:sz w:val="30"/>
          <w:szCs w:val="30"/>
          <w:highlight w:val="none"/>
          <w:u w:val="single"/>
          <w14:textFill>
            <w14:solidFill>
              <w14:schemeClr w14:val="tx1"/>
            </w14:solidFill>
          </w14:textFill>
        </w:rPr>
        <w:t xml:space="preserve">        </w:t>
      </w:r>
    </w:p>
    <w:sectPr>
      <w:headerReference r:id="rId4" w:type="first"/>
      <w:headerReference r:id="rId3" w:type="default"/>
      <w:footerReference r:id="rId5" w:type="default"/>
      <w:footerReference r:id="rId6" w:type="even"/>
      <w:pgSz w:w="11906" w:h="16838"/>
      <w:pgMar w:top="2098" w:right="1474" w:bottom="1984"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p>
  <w:p>
    <w:pPr>
      <w:pStyle w:val="6"/>
      <w:framePr w:wrap="around" w:vAnchor="text" w:hAnchor="margin" w:xAlign="outside" w:y="1"/>
      <w:ind w:firstLine="280" w:firstLineChars="10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QxMDVlYjAxY2Q0ZjhjYjNkODM4MjZjNDUwNzAifQ=="/>
  </w:docVars>
  <w:rsids>
    <w:rsidRoot w:val="00000000"/>
    <w:rsid w:val="01FF621E"/>
    <w:rsid w:val="02B57D59"/>
    <w:rsid w:val="030D4EBA"/>
    <w:rsid w:val="045209E4"/>
    <w:rsid w:val="04FD3B02"/>
    <w:rsid w:val="06BDD52D"/>
    <w:rsid w:val="075F30E8"/>
    <w:rsid w:val="0C281FE4"/>
    <w:rsid w:val="0DFA664A"/>
    <w:rsid w:val="0FBF545B"/>
    <w:rsid w:val="0FBFC60B"/>
    <w:rsid w:val="0FFF5B66"/>
    <w:rsid w:val="112E7287"/>
    <w:rsid w:val="11A836BF"/>
    <w:rsid w:val="1213607E"/>
    <w:rsid w:val="13798C3B"/>
    <w:rsid w:val="13F073AE"/>
    <w:rsid w:val="145015A0"/>
    <w:rsid w:val="14653FFD"/>
    <w:rsid w:val="14DE7975"/>
    <w:rsid w:val="151B56FF"/>
    <w:rsid w:val="17DE2FB7"/>
    <w:rsid w:val="17F63174"/>
    <w:rsid w:val="18BA9FCF"/>
    <w:rsid w:val="1AEFFF4D"/>
    <w:rsid w:val="1AFFDA08"/>
    <w:rsid w:val="1B0A238F"/>
    <w:rsid w:val="1B377FEC"/>
    <w:rsid w:val="1B9725B1"/>
    <w:rsid w:val="1BDE3365"/>
    <w:rsid w:val="1BFDA316"/>
    <w:rsid w:val="1D08638A"/>
    <w:rsid w:val="1D163CD4"/>
    <w:rsid w:val="1DB717F6"/>
    <w:rsid w:val="1DB7A61D"/>
    <w:rsid w:val="1EC4B592"/>
    <w:rsid w:val="1F926133"/>
    <w:rsid w:val="1FFB6018"/>
    <w:rsid w:val="1FFFE5A1"/>
    <w:rsid w:val="20E7A2C5"/>
    <w:rsid w:val="240F17C4"/>
    <w:rsid w:val="24E5D5BE"/>
    <w:rsid w:val="255076C2"/>
    <w:rsid w:val="260364D4"/>
    <w:rsid w:val="26067DE7"/>
    <w:rsid w:val="27779D67"/>
    <w:rsid w:val="2A6C1170"/>
    <w:rsid w:val="2AA917DF"/>
    <w:rsid w:val="2BCBCE96"/>
    <w:rsid w:val="2BF73FE3"/>
    <w:rsid w:val="2EB60A4F"/>
    <w:rsid w:val="2F17227B"/>
    <w:rsid w:val="2F744449"/>
    <w:rsid w:val="2F8F7016"/>
    <w:rsid w:val="2F9D1316"/>
    <w:rsid w:val="2FE43FBE"/>
    <w:rsid w:val="2FE7393D"/>
    <w:rsid w:val="2FFC74DE"/>
    <w:rsid w:val="32397EE6"/>
    <w:rsid w:val="33F0DA09"/>
    <w:rsid w:val="34793B7A"/>
    <w:rsid w:val="34A33566"/>
    <w:rsid w:val="34A46435"/>
    <w:rsid w:val="34EE6ED2"/>
    <w:rsid w:val="35CB00AA"/>
    <w:rsid w:val="36621F5E"/>
    <w:rsid w:val="36AE7E47"/>
    <w:rsid w:val="372A2A0B"/>
    <w:rsid w:val="377AFEF8"/>
    <w:rsid w:val="37DF9B80"/>
    <w:rsid w:val="37FB7B4A"/>
    <w:rsid w:val="37FEBA9B"/>
    <w:rsid w:val="38B74680"/>
    <w:rsid w:val="39B7E411"/>
    <w:rsid w:val="3A5B4E64"/>
    <w:rsid w:val="3ABD583D"/>
    <w:rsid w:val="3B170289"/>
    <w:rsid w:val="3B32D95C"/>
    <w:rsid w:val="3BCF60C5"/>
    <w:rsid w:val="3BED2081"/>
    <w:rsid w:val="3C287563"/>
    <w:rsid w:val="3CB5B0BF"/>
    <w:rsid w:val="3CFDE13D"/>
    <w:rsid w:val="3D15282A"/>
    <w:rsid w:val="3D7528E8"/>
    <w:rsid w:val="3DFF3290"/>
    <w:rsid w:val="3E3B2EF3"/>
    <w:rsid w:val="3E7FA013"/>
    <w:rsid w:val="3E975D7F"/>
    <w:rsid w:val="3EEE58CB"/>
    <w:rsid w:val="3EFC6E5A"/>
    <w:rsid w:val="3EFCB216"/>
    <w:rsid w:val="3F27F5DB"/>
    <w:rsid w:val="3F2B07C2"/>
    <w:rsid w:val="3F4D9EEE"/>
    <w:rsid w:val="3F77B977"/>
    <w:rsid w:val="3F7DEF05"/>
    <w:rsid w:val="3F7FBD5D"/>
    <w:rsid w:val="3F9D8C4B"/>
    <w:rsid w:val="3FAB42B1"/>
    <w:rsid w:val="3FABB0A5"/>
    <w:rsid w:val="3FB90B0B"/>
    <w:rsid w:val="3FBE4700"/>
    <w:rsid w:val="3FCEA857"/>
    <w:rsid w:val="3FE96CBF"/>
    <w:rsid w:val="3FEF2F35"/>
    <w:rsid w:val="3FEF8BAA"/>
    <w:rsid w:val="3FFF0AC4"/>
    <w:rsid w:val="3FFF9463"/>
    <w:rsid w:val="3FFFC0FC"/>
    <w:rsid w:val="402F091C"/>
    <w:rsid w:val="41215C63"/>
    <w:rsid w:val="412E2888"/>
    <w:rsid w:val="41A75014"/>
    <w:rsid w:val="42AB4717"/>
    <w:rsid w:val="44346DE2"/>
    <w:rsid w:val="4472470D"/>
    <w:rsid w:val="44CF7689"/>
    <w:rsid w:val="44D8663C"/>
    <w:rsid w:val="4537569D"/>
    <w:rsid w:val="467F0F5E"/>
    <w:rsid w:val="46D544C0"/>
    <w:rsid w:val="49B2F523"/>
    <w:rsid w:val="4B7FF5A1"/>
    <w:rsid w:val="4BAFFF22"/>
    <w:rsid w:val="4BF50A8D"/>
    <w:rsid w:val="4BFC0A7A"/>
    <w:rsid w:val="4DDEDDBC"/>
    <w:rsid w:val="4EFF576B"/>
    <w:rsid w:val="4F1043FE"/>
    <w:rsid w:val="4F1A41D0"/>
    <w:rsid w:val="4FB5F613"/>
    <w:rsid w:val="4FED9D89"/>
    <w:rsid w:val="4FF5B396"/>
    <w:rsid w:val="4FFF64E9"/>
    <w:rsid w:val="50BF8959"/>
    <w:rsid w:val="51B43959"/>
    <w:rsid w:val="51FCDDBC"/>
    <w:rsid w:val="52737DC8"/>
    <w:rsid w:val="535CF74D"/>
    <w:rsid w:val="53FB9CF8"/>
    <w:rsid w:val="55152C2C"/>
    <w:rsid w:val="55FD421D"/>
    <w:rsid w:val="568C61EF"/>
    <w:rsid w:val="579B33D8"/>
    <w:rsid w:val="57A9663E"/>
    <w:rsid w:val="57BF811F"/>
    <w:rsid w:val="57F77419"/>
    <w:rsid w:val="57FF975D"/>
    <w:rsid w:val="58EF4FB1"/>
    <w:rsid w:val="58FCB7F4"/>
    <w:rsid w:val="593B7274"/>
    <w:rsid w:val="5B73BED1"/>
    <w:rsid w:val="5B7D24B3"/>
    <w:rsid w:val="5BC26E0E"/>
    <w:rsid w:val="5BE73146"/>
    <w:rsid w:val="5BF52520"/>
    <w:rsid w:val="5BF75702"/>
    <w:rsid w:val="5D916354"/>
    <w:rsid w:val="5DC7BF55"/>
    <w:rsid w:val="5E2B60E9"/>
    <w:rsid w:val="5E7332C4"/>
    <w:rsid w:val="5E7BD734"/>
    <w:rsid w:val="5ECBC753"/>
    <w:rsid w:val="5EDA6126"/>
    <w:rsid w:val="5EFBE117"/>
    <w:rsid w:val="5EFEF18E"/>
    <w:rsid w:val="5F4D96AF"/>
    <w:rsid w:val="5F5E9FC9"/>
    <w:rsid w:val="5F62564B"/>
    <w:rsid w:val="5F6B9609"/>
    <w:rsid w:val="5F7C8185"/>
    <w:rsid w:val="5FBEED13"/>
    <w:rsid w:val="5FBF25F2"/>
    <w:rsid w:val="5FD71024"/>
    <w:rsid w:val="5FF8C68D"/>
    <w:rsid w:val="5FFD8184"/>
    <w:rsid w:val="5FFDA97F"/>
    <w:rsid w:val="5FFFB509"/>
    <w:rsid w:val="5FFFEBFE"/>
    <w:rsid w:val="6120605F"/>
    <w:rsid w:val="63635B3E"/>
    <w:rsid w:val="63DD7118"/>
    <w:rsid w:val="65180E4F"/>
    <w:rsid w:val="658C42F3"/>
    <w:rsid w:val="65FF0510"/>
    <w:rsid w:val="6638F3F5"/>
    <w:rsid w:val="672D5FB4"/>
    <w:rsid w:val="676B121F"/>
    <w:rsid w:val="677FE494"/>
    <w:rsid w:val="69EC1A28"/>
    <w:rsid w:val="6ADEF965"/>
    <w:rsid w:val="6B51665B"/>
    <w:rsid w:val="6B814E20"/>
    <w:rsid w:val="6BBD0892"/>
    <w:rsid w:val="6BD59054"/>
    <w:rsid w:val="6CAD3942"/>
    <w:rsid w:val="6D3BB695"/>
    <w:rsid w:val="6DBF3F0B"/>
    <w:rsid w:val="6DBF5BA7"/>
    <w:rsid w:val="6DCD06FB"/>
    <w:rsid w:val="6E5FDCAF"/>
    <w:rsid w:val="6EBDE892"/>
    <w:rsid w:val="6ED1368E"/>
    <w:rsid w:val="6EFF6E17"/>
    <w:rsid w:val="6F25163E"/>
    <w:rsid w:val="6F3DC5BA"/>
    <w:rsid w:val="6FBF93D3"/>
    <w:rsid w:val="6FCC9284"/>
    <w:rsid w:val="6FDA2D29"/>
    <w:rsid w:val="6FDE34B9"/>
    <w:rsid w:val="6FDE4C3B"/>
    <w:rsid w:val="6FDF2AC1"/>
    <w:rsid w:val="6FE92E68"/>
    <w:rsid w:val="6FFA2ADA"/>
    <w:rsid w:val="6FFC0C79"/>
    <w:rsid w:val="6FFE9006"/>
    <w:rsid w:val="6FFEA0AE"/>
    <w:rsid w:val="6FFEEED1"/>
    <w:rsid w:val="6FFFE784"/>
    <w:rsid w:val="70CA109C"/>
    <w:rsid w:val="72384E22"/>
    <w:rsid w:val="729D379E"/>
    <w:rsid w:val="729F9786"/>
    <w:rsid w:val="72FEDE5E"/>
    <w:rsid w:val="72FFAC37"/>
    <w:rsid w:val="73672CEE"/>
    <w:rsid w:val="737F5779"/>
    <w:rsid w:val="73E60C7C"/>
    <w:rsid w:val="73FAFEAD"/>
    <w:rsid w:val="73FCEE6B"/>
    <w:rsid w:val="73FEE1EB"/>
    <w:rsid w:val="73FF0F6D"/>
    <w:rsid w:val="74120FE7"/>
    <w:rsid w:val="745FE5D3"/>
    <w:rsid w:val="74DA9A57"/>
    <w:rsid w:val="7534619E"/>
    <w:rsid w:val="756E23CB"/>
    <w:rsid w:val="75D82EB8"/>
    <w:rsid w:val="75FBCB81"/>
    <w:rsid w:val="76797101"/>
    <w:rsid w:val="769F4852"/>
    <w:rsid w:val="76E9054C"/>
    <w:rsid w:val="76FFF965"/>
    <w:rsid w:val="7745C5C0"/>
    <w:rsid w:val="775DA05C"/>
    <w:rsid w:val="7790EA3E"/>
    <w:rsid w:val="77AE75E1"/>
    <w:rsid w:val="77B3821B"/>
    <w:rsid w:val="77BF9B34"/>
    <w:rsid w:val="77D79C82"/>
    <w:rsid w:val="77EDE17C"/>
    <w:rsid w:val="77EEA033"/>
    <w:rsid w:val="77FA41D6"/>
    <w:rsid w:val="77FDD148"/>
    <w:rsid w:val="77FEDAA8"/>
    <w:rsid w:val="77FF247D"/>
    <w:rsid w:val="77FF81D8"/>
    <w:rsid w:val="785A1014"/>
    <w:rsid w:val="78BAEF33"/>
    <w:rsid w:val="78F2C434"/>
    <w:rsid w:val="79DA5A2A"/>
    <w:rsid w:val="79FF6BF8"/>
    <w:rsid w:val="7A792B9E"/>
    <w:rsid w:val="7ADF46CF"/>
    <w:rsid w:val="7AFAC94B"/>
    <w:rsid w:val="7B737882"/>
    <w:rsid w:val="7B770F42"/>
    <w:rsid w:val="7B82B95A"/>
    <w:rsid w:val="7BBD1054"/>
    <w:rsid w:val="7BBF04AC"/>
    <w:rsid w:val="7BBF09EC"/>
    <w:rsid w:val="7BE86D5F"/>
    <w:rsid w:val="7BF3AB24"/>
    <w:rsid w:val="7BFC6960"/>
    <w:rsid w:val="7BFD2217"/>
    <w:rsid w:val="7CEE1551"/>
    <w:rsid w:val="7CFD69B6"/>
    <w:rsid w:val="7CFF6B1D"/>
    <w:rsid w:val="7D36DF67"/>
    <w:rsid w:val="7D37E3A9"/>
    <w:rsid w:val="7D3E1FA3"/>
    <w:rsid w:val="7D6D2410"/>
    <w:rsid w:val="7D7F77DF"/>
    <w:rsid w:val="7DB71174"/>
    <w:rsid w:val="7DDB2FAE"/>
    <w:rsid w:val="7DE792B2"/>
    <w:rsid w:val="7DEDD6CF"/>
    <w:rsid w:val="7DF40011"/>
    <w:rsid w:val="7DFE8CEE"/>
    <w:rsid w:val="7DFFAFCA"/>
    <w:rsid w:val="7E043BAD"/>
    <w:rsid w:val="7E5F4FAA"/>
    <w:rsid w:val="7E6700E6"/>
    <w:rsid w:val="7E7CAC54"/>
    <w:rsid w:val="7E7F0502"/>
    <w:rsid w:val="7E986598"/>
    <w:rsid w:val="7EA7B54F"/>
    <w:rsid w:val="7EBF308A"/>
    <w:rsid w:val="7EBF959A"/>
    <w:rsid w:val="7EEFBA62"/>
    <w:rsid w:val="7EF7ECF1"/>
    <w:rsid w:val="7EFA765A"/>
    <w:rsid w:val="7F1DCDB1"/>
    <w:rsid w:val="7F64AEC7"/>
    <w:rsid w:val="7F7BCCCC"/>
    <w:rsid w:val="7F7F62F9"/>
    <w:rsid w:val="7F7F6D69"/>
    <w:rsid w:val="7F7FBF3D"/>
    <w:rsid w:val="7F97A892"/>
    <w:rsid w:val="7FA4619F"/>
    <w:rsid w:val="7FAA6712"/>
    <w:rsid w:val="7FAFEC22"/>
    <w:rsid w:val="7FBC32D1"/>
    <w:rsid w:val="7FBFB5F3"/>
    <w:rsid w:val="7FD4CE87"/>
    <w:rsid w:val="7FD75697"/>
    <w:rsid w:val="7FDB6B9C"/>
    <w:rsid w:val="7FDF87BA"/>
    <w:rsid w:val="7FDF9305"/>
    <w:rsid w:val="7FDFFEDB"/>
    <w:rsid w:val="7FEF82FE"/>
    <w:rsid w:val="7FF410E5"/>
    <w:rsid w:val="7FF41458"/>
    <w:rsid w:val="7FF5B632"/>
    <w:rsid w:val="7FF8EDBE"/>
    <w:rsid w:val="7FF9FD56"/>
    <w:rsid w:val="7FFBA6C2"/>
    <w:rsid w:val="7FFCC356"/>
    <w:rsid w:val="7FFD72AF"/>
    <w:rsid w:val="7FFEDD54"/>
    <w:rsid w:val="7FFF139B"/>
    <w:rsid w:val="7FFF641F"/>
    <w:rsid w:val="7FFFBE38"/>
    <w:rsid w:val="7FFFE2C2"/>
    <w:rsid w:val="87DE97C4"/>
    <w:rsid w:val="8EDEC747"/>
    <w:rsid w:val="8F3BD5C9"/>
    <w:rsid w:val="912F3A33"/>
    <w:rsid w:val="94FF26DC"/>
    <w:rsid w:val="96EFFAF7"/>
    <w:rsid w:val="9B3F7126"/>
    <w:rsid w:val="9B9F067A"/>
    <w:rsid w:val="9C4C018E"/>
    <w:rsid w:val="9DF3A56A"/>
    <w:rsid w:val="9F4FD833"/>
    <w:rsid w:val="9F5F6793"/>
    <w:rsid w:val="9F9F989C"/>
    <w:rsid w:val="A4EF8BFB"/>
    <w:rsid w:val="A7786576"/>
    <w:rsid w:val="A7D716B9"/>
    <w:rsid w:val="A7DFD413"/>
    <w:rsid w:val="A7E7BADB"/>
    <w:rsid w:val="AB8F2DD8"/>
    <w:rsid w:val="ABBD3F99"/>
    <w:rsid w:val="ABFB35DE"/>
    <w:rsid w:val="AC5DC092"/>
    <w:rsid w:val="AD9B5FAB"/>
    <w:rsid w:val="AFBEC1B4"/>
    <w:rsid w:val="AFBFDA7C"/>
    <w:rsid w:val="AFEE9C50"/>
    <w:rsid w:val="AFFB9F9E"/>
    <w:rsid w:val="B3B7794E"/>
    <w:rsid w:val="B3F6C185"/>
    <w:rsid w:val="B4DB3598"/>
    <w:rsid w:val="B79FD3C8"/>
    <w:rsid w:val="B7AF0A9E"/>
    <w:rsid w:val="B7FB0E6D"/>
    <w:rsid w:val="B7FC8F42"/>
    <w:rsid w:val="B81CFFB5"/>
    <w:rsid w:val="B87FB6DD"/>
    <w:rsid w:val="B9CF7E95"/>
    <w:rsid w:val="BAA70AD0"/>
    <w:rsid w:val="BAFB41BB"/>
    <w:rsid w:val="BAFF3CDF"/>
    <w:rsid w:val="BBD9D737"/>
    <w:rsid w:val="BC4FCBE5"/>
    <w:rsid w:val="BCDFCBA8"/>
    <w:rsid w:val="BCFAC9CF"/>
    <w:rsid w:val="BD7F2771"/>
    <w:rsid w:val="BD9F38FD"/>
    <w:rsid w:val="BDAF00BF"/>
    <w:rsid w:val="BDB3AE70"/>
    <w:rsid w:val="BDBE2612"/>
    <w:rsid w:val="BDEB20F5"/>
    <w:rsid w:val="BE0FF2EA"/>
    <w:rsid w:val="BEB7926F"/>
    <w:rsid w:val="BEB91B98"/>
    <w:rsid w:val="BECFB351"/>
    <w:rsid w:val="BEFFD00B"/>
    <w:rsid w:val="BF231936"/>
    <w:rsid w:val="BF5EFDBC"/>
    <w:rsid w:val="BF6F2CE4"/>
    <w:rsid w:val="BF751E6C"/>
    <w:rsid w:val="BF8EF9A6"/>
    <w:rsid w:val="BFCB58EA"/>
    <w:rsid w:val="BFCE26FE"/>
    <w:rsid w:val="BFDF4A1D"/>
    <w:rsid w:val="BFDF5FD0"/>
    <w:rsid w:val="BFE4B8ED"/>
    <w:rsid w:val="BFE7698B"/>
    <w:rsid w:val="BFEE150D"/>
    <w:rsid w:val="BFF6F717"/>
    <w:rsid w:val="BFFEB84B"/>
    <w:rsid w:val="BFFEE9CC"/>
    <w:rsid w:val="BFFF97B8"/>
    <w:rsid w:val="C0EF8493"/>
    <w:rsid w:val="C69DAB77"/>
    <w:rsid w:val="CAEB9905"/>
    <w:rsid w:val="CAFE4455"/>
    <w:rsid w:val="CBA7A9B7"/>
    <w:rsid w:val="CBFD7701"/>
    <w:rsid w:val="CD3B24D8"/>
    <w:rsid w:val="CDAF9925"/>
    <w:rsid w:val="CF5B91C5"/>
    <w:rsid w:val="CF5F0731"/>
    <w:rsid w:val="CF7B259B"/>
    <w:rsid w:val="CFDF08FE"/>
    <w:rsid w:val="D1FF4214"/>
    <w:rsid w:val="D3E96849"/>
    <w:rsid w:val="D3F27AA6"/>
    <w:rsid w:val="D3F9F009"/>
    <w:rsid w:val="D45AE163"/>
    <w:rsid w:val="D67E8E81"/>
    <w:rsid w:val="D69BF1BD"/>
    <w:rsid w:val="D76ED730"/>
    <w:rsid w:val="D7BEB52B"/>
    <w:rsid w:val="D7F72FFD"/>
    <w:rsid w:val="D7FF10CE"/>
    <w:rsid w:val="D9765CF0"/>
    <w:rsid w:val="D9F60F50"/>
    <w:rsid w:val="D9FE4468"/>
    <w:rsid w:val="DB235F95"/>
    <w:rsid w:val="DBDF82B3"/>
    <w:rsid w:val="DBFC0C99"/>
    <w:rsid w:val="DBFEB7AD"/>
    <w:rsid w:val="DBFEE4A4"/>
    <w:rsid w:val="DCBC0599"/>
    <w:rsid w:val="DCBF9507"/>
    <w:rsid w:val="DCE627DA"/>
    <w:rsid w:val="DD7B32F0"/>
    <w:rsid w:val="DD84DAA8"/>
    <w:rsid w:val="DDDF415B"/>
    <w:rsid w:val="DDF6CC42"/>
    <w:rsid w:val="DDFFFBAF"/>
    <w:rsid w:val="DE4589B3"/>
    <w:rsid w:val="DE75CB35"/>
    <w:rsid w:val="DEB7FA50"/>
    <w:rsid w:val="DEDF0BCF"/>
    <w:rsid w:val="DEEBCF19"/>
    <w:rsid w:val="DF2F50C1"/>
    <w:rsid w:val="DF3564F9"/>
    <w:rsid w:val="DF3B9576"/>
    <w:rsid w:val="DF4FCBF1"/>
    <w:rsid w:val="DF5C88E9"/>
    <w:rsid w:val="DF6639D5"/>
    <w:rsid w:val="DFBD405A"/>
    <w:rsid w:val="DFBF37A3"/>
    <w:rsid w:val="DFCB6D8D"/>
    <w:rsid w:val="DFEB38F4"/>
    <w:rsid w:val="DFEC3D71"/>
    <w:rsid w:val="DFF6565B"/>
    <w:rsid w:val="DFF708C3"/>
    <w:rsid w:val="DFF70D44"/>
    <w:rsid w:val="DFF997EA"/>
    <w:rsid w:val="DFFB75C7"/>
    <w:rsid w:val="E22F5975"/>
    <w:rsid w:val="E5ED1E36"/>
    <w:rsid w:val="E6B14BE0"/>
    <w:rsid w:val="E6BC01EC"/>
    <w:rsid w:val="E7547EAB"/>
    <w:rsid w:val="E79F2E2C"/>
    <w:rsid w:val="E7DD79C2"/>
    <w:rsid w:val="E7F76754"/>
    <w:rsid w:val="E7FD098F"/>
    <w:rsid w:val="E7FE0E73"/>
    <w:rsid w:val="E7FFF308"/>
    <w:rsid w:val="E8DB53E9"/>
    <w:rsid w:val="E97F4AF7"/>
    <w:rsid w:val="EADD2F78"/>
    <w:rsid w:val="EBE7C973"/>
    <w:rsid w:val="EBFE7C8B"/>
    <w:rsid w:val="EC37ACC6"/>
    <w:rsid w:val="ECDBB759"/>
    <w:rsid w:val="ECE2A23A"/>
    <w:rsid w:val="EDFE9E3A"/>
    <w:rsid w:val="EE7355DB"/>
    <w:rsid w:val="EED3E13D"/>
    <w:rsid w:val="EEF7FE47"/>
    <w:rsid w:val="EF7F7675"/>
    <w:rsid w:val="EF7FCD09"/>
    <w:rsid w:val="EF857295"/>
    <w:rsid w:val="EFBB3BDD"/>
    <w:rsid w:val="EFBF1987"/>
    <w:rsid w:val="EFBFACF1"/>
    <w:rsid w:val="EFBFD49E"/>
    <w:rsid w:val="EFCB86CF"/>
    <w:rsid w:val="EFE76233"/>
    <w:rsid w:val="EFF77807"/>
    <w:rsid w:val="EFF9B75A"/>
    <w:rsid w:val="EFFB4A64"/>
    <w:rsid w:val="EFFCBDAD"/>
    <w:rsid w:val="EFFE301D"/>
    <w:rsid w:val="EFFEAF12"/>
    <w:rsid w:val="EFFF4C91"/>
    <w:rsid w:val="F049FB15"/>
    <w:rsid w:val="F1FB59DC"/>
    <w:rsid w:val="F2FBD64F"/>
    <w:rsid w:val="F2FF69CD"/>
    <w:rsid w:val="F37F1E0E"/>
    <w:rsid w:val="F3BB50BF"/>
    <w:rsid w:val="F3F99D20"/>
    <w:rsid w:val="F3FF4951"/>
    <w:rsid w:val="F3FF8DDC"/>
    <w:rsid w:val="F54D2940"/>
    <w:rsid w:val="F57F50C5"/>
    <w:rsid w:val="F5DD1447"/>
    <w:rsid w:val="F5F1C9D1"/>
    <w:rsid w:val="F5FD2953"/>
    <w:rsid w:val="F5FD9779"/>
    <w:rsid w:val="F64F2FC7"/>
    <w:rsid w:val="F6AC0C53"/>
    <w:rsid w:val="F6CFF041"/>
    <w:rsid w:val="F6EEA0D2"/>
    <w:rsid w:val="F6F70ADA"/>
    <w:rsid w:val="F755E184"/>
    <w:rsid w:val="F77F7FC6"/>
    <w:rsid w:val="F7E7A02D"/>
    <w:rsid w:val="F7EB3628"/>
    <w:rsid w:val="F7EEF2F7"/>
    <w:rsid w:val="F7EEFCBA"/>
    <w:rsid w:val="F7FC4CC7"/>
    <w:rsid w:val="F7FD2B91"/>
    <w:rsid w:val="F8DDE516"/>
    <w:rsid w:val="F9CFECAD"/>
    <w:rsid w:val="F9D7CEB2"/>
    <w:rsid w:val="F9F72545"/>
    <w:rsid w:val="F9FBEDF2"/>
    <w:rsid w:val="FA7FDAE8"/>
    <w:rsid w:val="FAE5F4B6"/>
    <w:rsid w:val="FAF0C75E"/>
    <w:rsid w:val="FB3C7696"/>
    <w:rsid w:val="FB3F34DF"/>
    <w:rsid w:val="FB6FBB28"/>
    <w:rsid w:val="FB755EF5"/>
    <w:rsid w:val="FB7756C6"/>
    <w:rsid w:val="FB7F23F2"/>
    <w:rsid w:val="FBBF2F94"/>
    <w:rsid w:val="FBBFA4EE"/>
    <w:rsid w:val="FBCCDD81"/>
    <w:rsid w:val="FBED509E"/>
    <w:rsid w:val="FBF5AFB8"/>
    <w:rsid w:val="FBF9848A"/>
    <w:rsid w:val="FBFDC72E"/>
    <w:rsid w:val="FBFE2390"/>
    <w:rsid w:val="FCAB5842"/>
    <w:rsid w:val="FCDBD819"/>
    <w:rsid w:val="FD3F2919"/>
    <w:rsid w:val="FD7C99F3"/>
    <w:rsid w:val="FDB7E496"/>
    <w:rsid w:val="FDBBDBBE"/>
    <w:rsid w:val="FDCDB5C2"/>
    <w:rsid w:val="FDDE35B6"/>
    <w:rsid w:val="FDE708B1"/>
    <w:rsid w:val="FDF5CB2A"/>
    <w:rsid w:val="FDF6CDF6"/>
    <w:rsid w:val="FE2FC43E"/>
    <w:rsid w:val="FE6E78AE"/>
    <w:rsid w:val="FE7ECC95"/>
    <w:rsid w:val="FEAA108F"/>
    <w:rsid w:val="FEBDC9E0"/>
    <w:rsid w:val="FECF8DEB"/>
    <w:rsid w:val="FED20859"/>
    <w:rsid w:val="FEF20C55"/>
    <w:rsid w:val="FEF35870"/>
    <w:rsid w:val="FEF51732"/>
    <w:rsid w:val="FEF5FC0E"/>
    <w:rsid w:val="FEF73280"/>
    <w:rsid w:val="FEF7A33C"/>
    <w:rsid w:val="FEF7D026"/>
    <w:rsid w:val="FEFD7DA3"/>
    <w:rsid w:val="FEFE431A"/>
    <w:rsid w:val="FEFF3882"/>
    <w:rsid w:val="FEFF6831"/>
    <w:rsid w:val="FF3D7DBD"/>
    <w:rsid w:val="FF3DA9C3"/>
    <w:rsid w:val="FF5F982C"/>
    <w:rsid w:val="FF6B7AD1"/>
    <w:rsid w:val="FF7A2B38"/>
    <w:rsid w:val="FF7B0E23"/>
    <w:rsid w:val="FF7EE4F8"/>
    <w:rsid w:val="FF7F4990"/>
    <w:rsid w:val="FF976331"/>
    <w:rsid w:val="FFB7C5AA"/>
    <w:rsid w:val="FFBEC138"/>
    <w:rsid w:val="FFBF0088"/>
    <w:rsid w:val="FFBFA02A"/>
    <w:rsid w:val="FFCD54D2"/>
    <w:rsid w:val="FFCEBD70"/>
    <w:rsid w:val="FFCF54E4"/>
    <w:rsid w:val="FFD68A31"/>
    <w:rsid w:val="FFD702B9"/>
    <w:rsid w:val="FFD7C392"/>
    <w:rsid w:val="FFDF7796"/>
    <w:rsid w:val="FFDFF963"/>
    <w:rsid w:val="FFE4B081"/>
    <w:rsid w:val="FFE5B167"/>
    <w:rsid w:val="FFEB1A70"/>
    <w:rsid w:val="FFEBB2C5"/>
    <w:rsid w:val="FFEDB7ED"/>
    <w:rsid w:val="FFEDEAA1"/>
    <w:rsid w:val="FFF6913B"/>
    <w:rsid w:val="FFF70854"/>
    <w:rsid w:val="FFF7695F"/>
    <w:rsid w:val="FFF7EA4B"/>
    <w:rsid w:val="FFFB5262"/>
    <w:rsid w:val="FFFBC518"/>
    <w:rsid w:val="FFFC1796"/>
    <w:rsid w:val="FFFD7180"/>
    <w:rsid w:val="FFFDC385"/>
    <w:rsid w:val="FFFDF3FA"/>
    <w:rsid w:val="FFFE356B"/>
    <w:rsid w:val="FFFF3386"/>
    <w:rsid w:val="FFFF6A7A"/>
    <w:rsid w:val="FFFFB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Body Text Indent"/>
    <w:basedOn w:val="1"/>
    <w:qFormat/>
    <w:uiPriority w:val="0"/>
    <w:pPr>
      <w:ind w:firstLine="570"/>
    </w:pPr>
    <w:rPr>
      <w:rFonts w:ascii="宋体" w:hAnsi="宋体"/>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列出段落2"/>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3760</Words>
  <Characters>3793</Characters>
  <Lines>0</Lines>
  <Paragraphs>0</Paragraphs>
  <TotalTime>75</TotalTime>
  <ScaleCrop>false</ScaleCrop>
  <LinksUpToDate>false</LinksUpToDate>
  <CharactersWithSpaces>4931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2014-12-03T04:08:00Z</dcterms:created>
  <dc:creator>user</dc:creator>
  <cp:lastModifiedBy>admin-</cp:lastModifiedBy>
  <cp:lastPrinted>2023-02-22T22:14:00Z</cp:lastPrinted>
  <dcterms:modified xsi:type="dcterms:W3CDTF">2023-04-11T11:13:07Z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4AC504AD7644443C955108B991F9ED4B</vt:lpwstr>
  </property>
</Properties>
</file>