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年龙华区第一轮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汽车促销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了深入贯彻落实《广东省进一步促进消费若干措施》《深圳市关于加快建设国际消费中心城市的若干措施》文件精神，进一步挖掘龙华区消费潜力，释放消费潜能，拓展新的增长点，聚焦汽车等重点消费领域，持续释放消费活力，营造浓厚消费氛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推动我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区汽车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消费平稳增长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，拟于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开展汽车促消费活动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一</w:t>
      </w:r>
      <w:r>
        <w:rPr>
          <w:rFonts w:eastAsia="黑体"/>
          <w:sz w:val="32"/>
          <w:szCs w:val="32"/>
        </w:rPr>
        <w:t>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Times New Roman" w:eastAsia="仿宋_GB2312" w:cs="Times New Roman"/>
          <w:spacing w:val="4"/>
          <w:kern w:val="2"/>
          <w:sz w:val="32"/>
          <w:szCs w:val="32"/>
          <w:lang w:val="en-US" w:eastAsia="zh-CN" w:bidi="ar-SA"/>
        </w:rPr>
        <w:t>2023年龙华区汽车促销</w:t>
      </w:r>
      <w:r>
        <w:rPr>
          <w:rFonts w:hint="eastAsia" w:ascii="仿宋_GB2312" w:hAnsi="Times New Roman" w:eastAsia="仿宋_GB2312" w:cs="Times New Roman"/>
          <w:spacing w:val="4"/>
          <w:kern w:val="2"/>
          <w:sz w:val="32"/>
          <w:szCs w:val="32"/>
          <w:lang w:val="en" w:eastAsia="zh-CN" w:bidi="ar-SA"/>
        </w:rPr>
        <w:t>活动</w:t>
      </w:r>
      <w:r>
        <w:rPr>
          <w:rFonts w:hint="eastAsia" w:ascii="仿宋_GB2312" w:eastAsia="仿宋_GB2312" w:cs="Times New Roman"/>
          <w:spacing w:val="4"/>
          <w:kern w:val="2"/>
          <w:sz w:val="32"/>
          <w:szCs w:val="32"/>
          <w:lang w:val="en" w:eastAsia="zh-CN" w:bidi="ar-SA"/>
        </w:rPr>
        <w:t>总预算</w:t>
      </w:r>
      <w:r>
        <w:rPr>
          <w:rFonts w:hint="eastAsia" w:ascii="仿宋_GB2312" w:eastAsia="仿宋_GB2312" w:cs="Times New Roman"/>
          <w:spacing w:val="4"/>
          <w:kern w:val="2"/>
          <w:sz w:val="32"/>
          <w:szCs w:val="32"/>
          <w:lang w:val="en-US" w:eastAsia="zh-CN" w:bidi="ar-SA"/>
        </w:rPr>
        <w:t>2亿元，</w:t>
      </w:r>
      <w:r>
        <w:rPr>
          <w:rFonts w:hint="eastAsia" w:ascii="仿宋_GB2312" w:hAnsi="Times New Roman" w:eastAsia="仿宋_GB2312" w:cs="Times New Roman"/>
          <w:spacing w:val="4"/>
          <w:kern w:val="2"/>
          <w:sz w:val="32"/>
          <w:szCs w:val="32"/>
          <w:lang w:val="en" w:eastAsia="zh-CN" w:bidi="ar-SA"/>
        </w:rPr>
        <w:t>分多轮开展，第一轮自</w:t>
      </w:r>
      <w:r>
        <w:rPr>
          <w:rFonts w:hint="eastAsia" w:ascii="仿宋_GB2312" w:hAnsi="Times New Roman" w:eastAsia="仿宋_GB2312" w:cs="Times New Roman"/>
          <w:spacing w:val="4"/>
          <w:kern w:val="2"/>
          <w:sz w:val="32"/>
          <w:szCs w:val="32"/>
          <w:lang w:val="en-US" w:eastAsia="zh-CN" w:bidi="ar-SA"/>
        </w:rPr>
        <w:t>2023年4月</w:t>
      </w:r>
      <w:r>
        <w:rPr>
          <w:rFonts w:hint="default" w:ascii="仿宋_GB2312" w:eastAsia="仿宋_GB2312" w:cs="Times New Roman"/>
          <w:spacing w:val="4"/>
          <w:kern w:val="2"/>
          <w:sz w:val="32"/>
          <w:szCs w:val="32"/>
          <w:lang w:val="en" w:eastAsia="zh-CN" w:bidi="ar-SA"/>
        </w:rPr>
        <w:t>12</w:t>
      </w:r>
      <w:r>
        <w:rPr>
          <w:rFonts w:hint="eastAsia" w:ascii="仿宋_GB2312" w:hAnsi="Times New Roman" w:eastAsia="仿宋_GB2312" w:cs="Times New Roman"/>
          <w:spacing w:val="4"/>
          <w:kern w:val="2"/>
          <w:sz w:val="32"/>
          <w:szCs w:val="32"/>
          <w:lang w:val="en-US" w:eastAsia="zh-CN" w:bidi="ar-SA"/>
        </w:rPr>
        <w:t>日开始</w:t>
      </w:r>
      <w:r>
        <w:rPr>
          <w:rFonts w:hint="eastAsia" w:ascii="仿宋_GB2312" w:eastAsia="仿宋_GB2312" w:cs="Times New Roman"/>
          <w:spacing w:val="4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Times New Roman" w:eastAsia="仿宋_GB2312" w:cs="Times New Roman"/>
          <w:spacing w:val="4"/>
          <w:kern w:val="2"/>
          <w:sz w:val="32"/>
          <w:szCs w:val="32"/>
          <w:lang w:val="en-US" w:eastAsia="zh-CN" w:bidi="ar-SA"/>
        </w:rPr>
        <w:t>至5000万元资金发放完毕截止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后续轮次启动时间及补贴标准以区政府正式公告为准。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补贴标准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及预算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活动期间，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在龙华区纳统的限额以上汽车零售企业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购买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新能源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汽车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或燃油汽车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（按照行驶证是否登记为新能源牌照为准进行区分，登记为新能源牌照即认定为新能源汽车，否则认定为燃油汽车）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的个人消费者，按以下标准补贴：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购买含税价10万元（含）至20万元（不含）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的，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新能源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8000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、燃油汽车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7000元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数字人民币；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购买含税价20万元（含）至30万元（不含）的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新能源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、燃油汽车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万元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数字人民币；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购买含税价30万元（含）至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0万元（不含）的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新能源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1.8万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、燃油汽车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1.7万元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数字人民币；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购买含税价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万元（含）以上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的，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新能源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、燃油汽车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每辆补贴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2.5万元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数字人民币。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2023年龙华区汽车促销活动，每轮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按消费者申请时间先后顺序进行发放，可与上级其他汽车消费补贴政策同时享受。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补贴条件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（一）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补贴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  <w:t>对象为个人消费者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补贴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</w:rPr>
        <w:t>对象于</w:t>
      </w:r>
      <w:r>
        <w:rPr>
          <w:rFonts w:hint="eastAsia" w:ascii="仿宋_GB2312" w:hAnsi="Courier New" w:eastAsia="仿宋_GB2312" w:cs="Times New Roman"/>
          <w:spacing w:val="0"/>
          <w:kern w:val="2"/>
          <w:sz w:val="32"/>
          <w:szCs w:val="32"/>
          <w:lang w:val="en-US" w:eastAsia="zh-CN" w:bidi="ar-SA"/>
        </w:rPr>
        <w:t>2023年4月</w:t>
      </w:r>
      <w:r>
        <w:rPr>
          <w:rFonts w:hint="default" w:ascii="仿宋_GB2312" w:eastAsia="仿宋_GB2312" w:cs="Times New Roman"/>
          <w:spacing w:val="0"/>
          <w:kern w:val="2"/>
          <w:sz w:val="32"/>
          <w:szCs w:val="32"/>
          <w:lang w:val="en" w:eastAsia="zh-CN" w:bidi="ar-SA"/>
        </w:rPr>
        <w:t>12</w:t>
      </w:r>
      <w:r>
        <w:rPr>
          <w:rFonts w:hint="eastAsia" w:ascii="仿宋_GB2312" w:hAnsi="Courier New" w:eastAsia="仿宋_GB2312" w:cs="Times New Roman"/>
          <w:spacing w:val="0"/>
          <w:kern w:val="2"/>
          <w:sz w:val="32"/>
          <w:szCs w:val="32"/>
          <w:lang w:val="en-US" w:eastAsia="zh-CN" w:bidi="ar-SA"/>
        </w:rPr>
        <w:t>日（含）后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在龙华区纳统的限额以上汽车零售企业购买</w:t>
      </w:r>
      <w:r>
        <w:rPr>
          <w:rFonts w:hint="eastAsia" w:ascii="仿宋_GB2312" w:hAnsi="Courier New" w:eastAsia="仿宋_GB2312" w:cs="Times New Roman"/>
          <w:color w:val="auto"/>
          <w:sz w:val="32"/>
          <w:szCs w:val="32"/>
          <w:lang w:val="en-US" w:eastAsia="zh-CN"/>
        </w:rPr>
        <w:t>汽车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（不含二手车和营运车辆），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  <w:t>取得机动车销售统一发票和机动车行驶证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lang w:val="en-US" w:eastAsia="zh-CN"/>
        </w:rPr>
        <w:t>购车时间、价格分别以机动车销售统一发票的开票时间、</w:t>
      </w:r>
      <w:r>
        <w:rPr>
          <w:rFonts w:hint="eastAsia" w:ascii="仿宋_GB2312" w:hAnsi="Courier New" w:eastAsia="仿宋_GB2312" w:cs="Times New Roman"/>
          <w:kern w:val="2"/>
          <w:sz w:val="32"/>
          <w:szCs w:val="32"/>
          <w:lang w:val="en-US" w:eastAsia="zh-CN" w:bidi="ar-SA"/>
        </w:rPr>
        <w:t>含税价格为准。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8"/>
          <w:rFonts w:hint="eastAsia" w:ascii="仿宋_GB2312" w:hAnsi="Courier New" w:eastAsia="仿宋_GB2312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（二）在龙华区纳统的限额以上汽车零售企业是：在国家统计局“统计联网直报平台”内的行业类别为“汽车新车零售”，行业代码为“5261”的汽车零售企业。符合条件的汽车销售企业以公示当日已纳统的汽车零售企业为准，消费者可通过龙华政府在线-龙华区工业和信息化局（商务局）-通知公告查询。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lang w:val="en-US" w:eastAsia="zh-CN"/>
        </w:rPr>
        <w:t>网址如下：</w:t>
      </w:r>
      <w:r>
        <w:rPr>
          <w:rFonts w:hint="eastAsia" w:ascii="仿宋_GB2312" w:hAnsi="Courier New" w:eastAsia="仿宋_GB2312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http://www.szlhq.gov.cn/bmxxgk/jjcjj/dtxx_124217/tzgg_124219/index.html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四、申请材料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（一）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个人消费者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  <w:t>有效身份证件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  <w:t>持有效护照的外籍人士需提供护照公证翻译本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）、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数字人民币账户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新购车辆的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  <w:t>机动车销售发票；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新购车辆的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</w:rPr>
        <w:t>机动车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行驶证；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以上所有资料持证（件）人、证件号码必须为申请人本人，否则不予受理。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申请及审核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为方便消费者申请，提高发放效率，补贴通过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APP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eastAsia="zh-CN"/>
        </w:rPr>
        <w:t>申请，具体流程如下：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（一）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申请人登录APP——龙华区购车补贴申请平台；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（二）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申请人按提示填写相关信息；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（三）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上传相关材料，包括身份证明材料、机动车销售统一发票、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行驶证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（四）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系统联网校验信息进行初审；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（五）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区工业和信息化局（商务局）会同有关部门对申请人提供的材料进行人工审核，对经审核符合条件的，进入下一流程；对经审核不符合条件的，不予通过；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（六）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对审核通过的申请人，分批次在龙华区工业和信息化局（商务局）网站上公示5个工作日；如对公示有异议，请于公示结束后的3个工作日内联系我局核实；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（七）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公示无异议后，区工业和信息化局（商务局）按有关规定办理款项拨付手续，直接拨付至申请人数字人民币账户。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申请及审核流程图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384165" cy="7325360"/>
            <wp:effectExtent l="0" t="0" r="6985" b="8890"/>
            <wp:docPr id="1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73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六、其他事项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</w:rPr>
        <w:t>（一）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由个人消费者直接申请。在法律规定范围内如发生不可抗力等因素，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区工业和信息化局（商务局）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可根据活动开展情况对规则进行变更或调整；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（二）</w:t>
      </w: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上传资料前，请确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  <w:t>认数字人民币账号已进行个人实名认证，确保个人信息的准确性，如因账号等个人信息错误,导致不能及时拨款的，由消费者自行负责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（三）</w:t>
      </w: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初审通过后，复审中如申请资料无原则性问题但需要补充申请资料的，请于收到通知后三个工作日内将申请资料补充齐全，并快递至我局指定地址，逾期未补充资料则视为自动放弃（以快递寄出日期为准）；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Courier New" w:eastAsia="仿宋_GB2312" w:cs="Times New Roman"/>
          <w:b w:val="0"/>
          <w:bCs w:val="0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（四）每轮促销活动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补贴资金预算使用完毕，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区工业和信息化局（商务局）</w:t>
      </w:r>
      <w:r>
        <w:rPr>
          <w:rFonts w:hint="eastAsia" w:ascii="仿宋_GB2312" w:hAnsi="Courier New" w:eastAsia="仿宋_GB2312" w:cs="Times New Roman"/>
          <w:color w:val="000000"/>
          <w:sz w:val="32"/>
          <w:szCs w:val="32"/>
          <w:shd w:val="clear" w:color="auto" w:fill="auto"/>
          <w:lang w:eastAsia="zh-CN"/>
        </w:rPr>
        <w:t>将发布公告截止活动</w:t>
      </w:r>
      <w:r>
        <w:rPr>
          <w:rFonts w:hint="eastAsia" w:ascii="仿宋_GB2312" w:hAnsi="Courier New" w:eastAsia="仿宋_GB2312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在龙华区纳统的限额以上汽车零售企业名单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267DCD0"/>
    <w:rsid w:val="47639AAC"/>
    <w:rsid w:val="627E937F"/>
    <w:rsid w:val="BB3DE24D"/>
    <w:rsid w:val="C267DCD0"/>
    <w:rsid w:val="C4377112"/>
    <w:rsid w:val="EF2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2023-04-13T12:38:00Z</dcterms:created>
  <dc:creator>yzd</dc:creator>
  <cp:lastModifiedBy>longhua</cp:lastModifiedBy>
  <dcterms:modified xsi:type="dcterms:W3CDTF">2023-04-27T17:48:16Z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