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both"/>
        <w:rPr>
          <w:rFonts w:hint="eastAsia" w:ascii="Times New Roman" w:hAnsi="Times New Roman"/>
          <w:b w:val="0"/>
          <w:bCs/>
          <w:sz w:val="32"/>
          <w:szCs w:val="32"/>
          <w:lang w:eastAsia="zh-CN"/>
        </w:rPr>
      </w:pPr>
      <w:r>
        <w:rPr>
          <w:rFonts w:hint="eastAsia" w:ascii="Times New Roman" w:hAnsi="Times New Roman"/>
          <w:b w:val="0"/>
          <w:bCs/>
          <w:sz w:val="32"/>
          <w:szCs w:val="32"/>
          <w:lang w:eastAsia="zh-CN"/>
        </w:rPr>
        <w:t>附件：</w:t>
      </w:r>
    </w:p>
    <w:p>
      <w:pPr>
        <w:rPr>
          <w:rFonts w:hint="eastAsia"/>
          <w:b w:val="0"/>
          <w:bCs/>
          <w:lang w:eastAsia="zh-CN"/>
        </w:rPr>
      </w:pPr>
    </w:p>
    <w:p>
      <w:pPr>
        <w:pStyle w:val="5"/>
        <w:rPr>
          <w:rFonts w:ascii="Times New Roman" w:hAnsi="Times New Roman"/>
          <w:b w:val="0"/>
          <w:bCs/>
          <w:szCs w:val="36"/>
        </w:rPr>
      </w:pPr>
      <w:r>
        <w:rPr>
          <w:rFonts w:hint="eastAsia" w:ascii="Times New Roman" w:hAnsi="Times New Roman"/>
          <w:b w:val="0"/>
          <w:bCs/>
          <w:szCs w:val="36"/>
        </w:rPr>
        <w:t>义务教育薄弱环节改善与能力提升补助资金管理办法</w:t>
      </w:r>
    </w:p>
    <w:p>
      <w:pPr>
        <w:pStyle w:val="8"/>
        <w:ind w:firstLine="640"/>
        <w:rPr>
          <w:rFonts w:ascii="Times New Roman" w:hAnsi="Times New Roman" w:eastAsia="仿宋_GB2312"/>
          <w:b w:val="0"/>
          <w:bCs/>
          <w:sz w:val="32"/>
          <w:szCs w:val="21"/>
        </w:rPr>
      </w:pPr>
    </w:p>
    <w:p>
      <w:pPr>
        <w:pStyle w:val="8"/>
        <w:ind w:firstLine="640"/>
        <w:rPr>
          <w:rFonts w:ascii="Times New Roman" w:hAnsi="Times New Roman" w:eastAsia="仿宋_GB2312"/>
          <w:b w:val="0"/>
          <w:bCs/>
          <w:sz w:val="32"/>
          <w:szCs w:val="21"/>
        </w:rPr>
      </w:pPr>
      <w:r>
        <w:rPr>
          <w:rFonts w:hint="eastAsia" w:ascii="黑体" w:hAnsi="黑体" w:eastAsia="黑体" w:cs="黑体"/>
          <w:b w:val="0"/>
          <w:bCs/>
          <w:sz w:val="32"/>
          <w:szCs w:val="21"/>
        </w:rPr>
        <w:t>第一条</w:t>
      </w:r>
      <w:r>
        <w:rPr>
          <w:rFonts w:hint="eastAsia" w:ascii="Times New Roman" w:hAnsi="Times New Roman" w:eastAsia="仿宋_GB2312"/>
          <w:b w:val="0"/>
          <w:bCs/>
          <w:sz w:val="32"/>
          <w:szCs w:val="21"/>
        </w:rPr>
        <w:t xml:space="preserve">  为规范和加强义务教育薄弱环节改善与能力提升补助资金管理，提高资金使用效益，根据国家预算管理有关规定，制定本办法。</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第二条</w:t>
      </w:r>
      <w:r>
        <w:rPr>
          <w:rFonts w:hint="eastAsia" w:ascii="Times New Roman" w:hAnsi="Times New Roman" w:eastAsia="仿宋_GB2312"/>
          <w:b w:val="0"/>
          <w:bCs/>
          <w:sz w:val="32"/>
          <w:szCs w:val="21"/>
        </w:rPr>
        <w:t xml:space="preserve">  本办法所称义务教育薄弱环节改善与能力提升补助资金（以下称补助资金），是指中央财政用于支持义务教育</w:t>
      </w:r>
      <w:r>
        <w:rPr>
          <w:rFonts w:hint="eastAsia" w:ascii="Times New Roman" w:hAnsi="Times New Roman" w:eastAsia="仿宋_GB2312"/>
          <w:b w:val="0"/>
          <w:bCs/>
          <w:sz w:val="32"/>
          <w:szCs w:val="21"/>
          <w:lang w:eastAsia="zh-CN"/>
        </w:rPr>
        <w:t>发展，</w:t>
      </w:r>
      <w:r>
        <w:rPr>
          <w:rFonts w:hint="eastAsia" w:ascii="Times New Roman" w:hAnsi="Times New Roman" w:eastAsia="仿宋_GB2312"/>
          <w:b w:val="0"/>
          <w:bCs/>
          <w:sz w:val="32"/>
          <w:szCs w:val="21"/>
        </w:rPr>
        <w:t>改善薄弱环节</w:t>
      </w:r>
      <w:r>
        <w:rPr>
          <w:rFonts w:hint="eastAsia" w:ascii="Times New Roman" w:hAnsi="Times New Roman" w:eastAsia="仿宋_GB2312"/>
          <w:b w:val="0"/>
          <w:bCs/>
          <w:sz w:val="32"/>
          <w:szCs w:val="21"/>
          <w:lang w:eastAsia="zh-CN"/>
        </w:rPr>
        <w:t>和</w:t>
      </w:r>
      <w:r>
        <w:rPr>
          <w:rFonts w:hint="eastAsia" w:ascii="Times New Roman" w:hAnsi="Times New Roman" w:eastAsia="仿宋_GB2312"/>
          <w:b w:val="0"/>
          <w:bCs/>
          <w:sz w:val="32"/>
          <w:szCs w:val="21"/>
        </w:rPr>
        <w:t>提升办学能力的转移支付资金。</w:t>
      </w:r>
      <w:r>
        <w:rPr>
          <w:rFonts w:hint="eastAsia" w:ascii="Times New Roman" w:hAnsi="Times New Roman" w:eastAsia="仿宋_GB2312"/>
          <w:b w:val="0"/>
          <w:bCs/>
          <w:sz w:val="32"/>
          <w:szCs w:val="21"/>
          <w:lang w:eastAsia="zh-CN"/>
        </w:rPr>
        <w:t>重点支持</w:t>
      </w:r>
      <w:r>
        <w:rPr>
          <w:rFonts w:hint="eastAsia" w:ascii="Times New Roman" w:hAnsi="Times New Roman" w:eastAsia="仿宋_GB2312"/>
          <w:b w:val="0"/>
          <w:bCs/>
          <w:sz w:val="32"/>
          <w:szCs w:val="21"/>
        </w:rPr>
        <w:t>中西部地区和东部部分困难地区</w:t>
      </w:r>
      <w:r>
        <w:rPr>
          <w:rFonts w:hint="eastAsia" w:ascii="Times New Roman" w:hAnsi="Times New Roman" w:eastAsia="仿宋_GB2312"/>
          <w:b w:val="0"/>
          <w:bCs/>
          <w:sz w:val="32"/>
          <w:szCs w:val="21"/>
          <w:lang w:eastAsia="zh-CN"/>
        </w:rPr>
        <w:t>。</w:t>
      </w:r>
      <w:r>
        <w:rPr>
          <w:rFonts w:hint="eastAsia" w:ascii="Times New Roman" w:hAnsi="Times New Roman" w:eastAsia="仿宋_GB2312"/>
          <w:b w:val="0"/>
          <w:bCs/>
          <w:sz w:val="32"/>
          <w:szCs w:val="21"/>
        </w:rPr>
        <w:t>实施期限</w:t>
      </w:r>
      <w:r>
        <w:rPr>
          <w:rFonts w:hint="eastAsia" w:ascii="Times New Roman" w:hAnsi="Times New Roman" w:eastAsia="仿宋_GB2312"/>
          <w:b w:val="0"/>
          <w:bCs/>
          <w:sz w:val="32"/>
          <w:szCs w:val="21"/>
          <w:lang w:eastAsia="zh-CN"/>
        </w:rPr>
        <w:t>为</w:t>
      </w:r>
      <w:r>
        <w:rPr>
          <w:rFonts w:hint="eastAsia" w:ascii="Times New Roman" w:hAnsi="Times New Roman" w:eastAsia="仿宋_GB2312"/>
          <w:b w:val="0"/>
          <w:bCs/>
          <w:sz w:val="32"/>
          <w:szCs w:val="21"/>
          <w:lang w:val="en-US" w:eastAsia="zh-CN"/>
        </w:rPr>
        <w:t>2021-2025年</w:t>
      </w:r>
      <w:r>
        <w:rPr>
          <w:rFonts w:hint="eastAsia" w:ascii="Times New Roman" w:hAnsi="Times New Roman" w:eastAsia="仿宋_GB2312"/>
          <w:b w:val="0"/>
          <w:bCs/>
          <w:sz w:val="32"/>
          <w:szCs w:val="21"/>
        </w:rPr>
        <w:t>。</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第三条</w:t>
      </w:r>
      <w:r>
        <w:rPr>
          <w:rFonts w:hint="eastAsia" w:ascii="Times New Roman" w:hAnsi="Times New Roman" w:eastAsia="仿宋_GB2312"/>
          <w:b w:val="0"/>
          <w:bCs/>
          <w:sz w:val="32"/>
          <w:szCs w:val="21"/>
        </w:rPr>
        <w:t xml:space="preserve">  补助资金管理遵循“中央引导、省级统筹，突出重点、注重绩效，规范透明、强化监督”的原则。</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第四条</w:t>
      </w:r>
      <w:r>
        <w:rPr>
          <w:rFonts w:hint="eastAsia" w:ascii="Times New Roman" w:hAnsi="Times New Roman" w:eastAsia="仿宋_GB2312"/>
          <w:b w:val="0"/>
          <w:bCs/>
          <w:sz w:val="32"/>
          <w:szCs w:val="21"/>
        </w:rPr>
        <w:t xml:space="preserve">  补助资金</w:t>
      </w:r>
      <w:r>
        <w:rPr>
          <w:rFonts w:hint="eastAsia" w:ascii="Times New Roman" w:hAnsi="Times New Roman" w:eastAsia="仿宋_GB2312"/>
          <w:b w:val="0"/>
          <w:bCs/>
          <w:sz w:val="32"/>
          <w:szCs w:val="21"/>
          <w:lang w:eastAsia="zh-CN"/>
        </w:rPr>
        <w:t>主要用于以下方面</w:t>
      </w:r>
      <w:r>
        <w:rPr>
          <w:rFonts w:hint="eastAsia" w:ascii="Times New Roman" w:hAnsi="Times New Roman" w:eastAsia="仿宋_GB2312"/>
          <w:b w:val="0"/>
          <w:bCs/>
          <w:sz w:val="32"/>
          <w:szCs w:val="21"/>
        </w:rPr>
        <w:t>：</w:t>
      </w:r>
    </w:p>
    <w:p>
      <w:pPr>
        <w:ind w:firstLine="640" w:firstLineChars="200"/>
        <w:rPr>
          <w:rFonts w:hint="eastAsia" w:ascii="Times New Roman" w:hAnsi="Times New Roman" w:eastAsia="仿宋_GB2312"/>
          <w:b w:val="0"/>
          <w:bCs/>
          <w:sz w:val="32"/>
          <w:szCs w:val="21"/>
        </w:rPr>
      </w:pPr>
      <w:r>
        <w:rPr>
          <w:rFonts w:hint="eastAsia" w:ascii="Times New Roman" w:hAnsi="Times New Roman" w:eastAsia="仿宋_GB2312"/>
          <w:b w:val="0"/>
          <w:bCs/>
          <w:sz w:val="32"/>
          <w:szCs w:val="21"/>
        </w:rPr>
        <w:t>（一）支持</w:t>
      </w:r>
      <w:r>
        <w:rPr>
          <w:rFonts w:hint="eastAsia" w:ascii="Times New Roman" w:hAnsi="Times New Roman" w:eastAsia="仿宋_GB2312"/>
          <w:b w:val="0"/>
          <w:bCs/>
          <w:sz w:val="32"/>
          <w:szCs w:val="21"/>
          <w:lang w:eastAsia="zh-CN"/>
        </w:rPr>
        <w:t>改善</w:t>
      </w:r>
      <w:r>
        <w:rPr>
          <w:rFonts w:hint="eastAsia" w:ascii="Times New Roman" w:hAnsi="Times New Roman" w:eastAsia="仿宋_GB2312" w:cs="Times New Roman"/>
          <w:b w:val="0"/>
          <w:bCs/>
          <w:sz w:val="32"/>
          <w:szCs w:val="32"/>
          <w:lang w:eastAsia="zh-CN"/>
        </w:rPr>
        <w:t>农村学校</w:t>
      </w:r>
      <w:r>
        <w:rPr>
          <w:rFonts w:hint="eastAsia" w:ascii="Times New Roman" w:hAnsi="Times New Roman" w:eastAsia="仿宋_GB2312"/>
          <w:b w:val="0"/>
          <w:bCs/>
          <w:sz w:val="32"/>
          <w:szCs w:val="21"/>
        </w:rPr>
        <w:t>基本办学条件，</w:t>
      </w:r>
      <w:r>
        <w:rPr>
          <w:rFonts w:hint="eastAsia" w:ascii="Times New Roman" w:hAnsi="Times New Roman" w:eastAsia="仿宋_GB2312"/>
          <w:b w:val="0"/>
          <w:bCs/>
          <w:sz w:val="32"/>
          <w:szCs w:val="21"/>
          <w:lang w:eastAsia="zh-CN"/>
        </w:rPr>
        <w:t>因地制宜加强</w:t>
      </w:r>
      <w:r>
        <w:rPr>
          <w:rFonts w:ascii="Times New Roman" w:hAnsi="Times New Roman" w:eastAsia="仿宋_GB2312" w:cs="Times New Roman"/>
          <w:b w:val="0"/>
          <w:bCs/>
          <w:sz w:val="32"/>
          <w:szCs w:val="32"/>
        </w:rPr>
        <w:t>学校</w:t>
      </w:r>
      <w:r>
        <w:rPr>
          <w:rFonts w:hint="eastAsia" w:ascii="Times New Roman" w:hAnsi="Times New Roman" w:eastAsia="仿宋_GB2312" w:cs="Times New Roman"/>
          <w:b w:val="0"/>
          <w:bCs/>
          <w:sz w:val="32"/>
          <w:szCs w:val="32"/>
          <w:lang w:eastAsia="zh-CN"/>
        </w:rPr>
        <w:t>教室、</w:t>
      </w:r>
      <w:r>
        <w:rPr>
          <w:rFonts w:ascii="Times New Roman" w:hAnsi="Times New Roman" w:eastAsia="仿宋_GB2312" w:cs="Times New Roman"/>
          <w:b w:val="0"/>
          <w:bCs/>
          <w:sz w:val="32"/>
          <w:szCs w:val="32"/>
        </w:rPr>
        <w:t>宿舍和食堂</w:t>
      </w:r>
      <w:r>
        <w:rPr>
          <w:rFonts w:hint="eastAsia" w:ascii="Times New Roman" w:hAnsi="Times New Roman" w:eastAsia="仿宋_GB2312" w:cs="Times New Roman"/>
          <w:b w:val="0"/>
          <w:bCs/>
          <w:sz w:val="32"/>
          <w:szCs w:val="32"/>
          <w:lang w:eastAsia="zh-CN"/>
        </w:rPr>
        <w:t>等设施</w:t>
      </w:r>
      <w:r>
        <w:rPr>
          <w:rFonts w:ascii="Times New Roman" w:hAnsi="Times New Roman" w:eastAsia="仿宋_GB2312" w:cs="Times New Roman"/>
          <w:b w:val="0"/>
          <w:bCs/>
          <w:sz w:val="32"/>
          <w:szCs w:val="32"/>
        </w:rPr>
        <w:t>建设，配齐洗浴、饮水等学生生活必需的设施设备，改善学校寄宿条件</w:t>
      </w:r>
      <w:r>
        <w:rPr>
          <w:rFonts w:hint="eastAsia" w:ascii="Times New Roman" w:hAnsi="Times New Roman" w:eastAsia="仿宋_GB2312" w:cs="Times New Roman"/>
          <w:b w:val="0"/>
          <w:bCs/>
          <w:sz w:val="32"/>
          <w:szCs w:val="32"/>
          <w:lang w:eastAsia="zh-CN"/>
        </w:rPr>
        <w:t>，根据需要</w:t>
      </w:r>
      <w:r>
        <w:rPr>
          <w:rFonts w:hint="eastAsia" w:ascii="仿宋_GB2312" w:hAnsi="黑体" w:eastAsia="仿宋_GB2312" w:cs="华文仿宋"/>
          <w:b w:val="0"/>
          <w:bCs/>
          <w:color w:val="000000" w:themeColor="text1"/>
          <w:sz w:val="32"/>
          <w:szCs w:val="32"/>
          <w14:textFill>
            <w14:solidFill>
              <w14:schemeClr w14:val="tx1"/>
            </w14:solidFill>
          </w14:textFill>
        </w:rPr>
        <w:t>设置</w:t>
      </w:r>
      <w:r>
        <w:rPr>
          <w:rFonts w:hint="eastAsia" w:ascii="仿宋_GB2312" w:hAnsi="黑体" w:eastAsia="仿宋_GB2312" w:cs="华文仿宋"/>
          <w:b w:val="0"/>
          <w:bCs/>
          <w:color w:val="000000" w:themeColor="text1"/>
          <w:sz w:val="32"/>
          <w:szCs w:val="32"/>
          <w:lang w:eastAsia="zh-CN"/>
          <w14:textFill>
            <w14:solidFill>
              <w14:schemeClr w14:val="tx1"/>
            </w14:solidFill>
          </w14:textFill>
        </w:rPr>
        <w:t>心理咨询室、图书室等</w:t>
      </w:r>
      <w:r>
        <w:rPr>
          <w:rFonts w:hint="eastAsia" w:ascii="仿宋_GB2312" w:hAnsi="黑体" w:eastAsia="仿宋_GB2312" w:cs="华文仿宋"/>
          <w:b w:val="0"/>
          <w:bCs/>
          <w:color w:val="000000" w:themeColor="text1"/>
          <w:sz w:val="32"/>
          <w:szCs w:val="32"/>
          <w14:textFill>
            <w14:solidFill>
              <w14:schemeClr w14:val="tx1"/>
            </w14:solidFill>
          </w14:textFill>
        </w:rPr>
        <w:t>功能教室</w:t>
      </w:r>
      <w:r>
        <w:rPr>
          <w:rFonts w:hint="eastAsia" w:ascii="Times New Roman" w:hAnsi="Times New Roman" w:eastAsia="仿宋_GB2312" w:cs="Times New Roman"/>
          <w:b w:val="0"/>
          <w:bCs/>
          <w:sz w:val="32"/>
          <w:szCs w:val="32"/>
          <w:lang w:eastAsia="zh-CN"/>
        </w:rPr>
        <w:t>；按照国家规范要求加强校园安全设施设备建设；支持取暖设施</w:t>
      </w:r>
      <w:r>
        <w:rPr>
          <w:rFonts w:ascii="Times New Roman" w:hAnsi="Times New Roman" w:eastAsia="仿宋_GB2312" w:cs="Times New Roman"/>
          <w:b w:val="0"/>
          <w:bCs/>
          <w:sz w:val="32"/>
          <w:szCs w:val="32"/>
        </w:rPr>
        <w:t>和卫生厕所改造</w:t>
      </w:r>
      <w:r>
        <w:rPr>
          <w:rFonts w:hint="eastAsia" w:ascii="Times New Roman" w:hAnsi="Times New Roman" w:eastAsia="仿宋_GB2312" w:cs="Times New Roman"/>
          <w:b w:val="0"/>
          <w:bCs/>
          <w:sz w:val="32"/>
          <w:szCs w:val="32"/>
          <w:lang w:eastAsia="zh-CN"/>
        </w:rPr>
        <w:t>；改善</w:t>
      </w:r>
      <w:r>
        <w:rPr>
          <w:rFonts w:hint="eastAsia" w:ascii="仿宋_GB2312" w:hAnsi="黑体" w:eastAsia="仿宋_GB2312" w:cs="华文仿宋"/>
          <w:b w:val="0"/>
          <w:bCs/>
          <w:color w:val="000000" w:themeColor="text1"/>
          <w:sz w:val="32"/>
          <w:szCs w:val="32"/>
          <w14:textFill>
            <w14:solidFill>
              <w14:schemeClr w14:val="tx1"/>
            </w14:solidFill>
          </w14:textFill>
        </w:rPr>
        <w:t>规划保留的乡村小规模学校</w:t>
      </w:r>
      <w:r>
        <w:rPr>
          <w:rFonts w:hint="eastAsia" w:ascii="仿宋_GB2312" w:hAnsi="黑体" w:eastAsia="仿宋_GB2312" w:cs="华文仿宋"/>
          <w:b w:val="0"/>
          <w:bCs/>
          <w:color w:val="000000" w:themeColor="text1"/>
          <w:sz w:val="32"/>
          <w:szCs w:val="32"/>
          <w:lang w:eastAsia="zh-CN"/>
          <w14:textFill>
            <w14:solidFill>
              <w14:schemeClr w14:val="tx1"/>
            </w14:solidFill>
          </w14:textFill>
        </w:rPr>
        <w:t>办学条件</w:t>
      </w:r>
      <w:r>
        <w:rPr>
          <w:rFonts w:hint="eastAsia" w:ascii="仿宋_GB2312" w:hAnsi="黑体" w:eastAsia="仿宋_GB2312" w:cs="华文仿宋"/>
          <w:b w:val="0"/>
          <w:bCs/>
          <w:color w:val="000000" w:themeColor="text1"/>
          <w:sz w:val="32"/>
          <w:szCs w:val="32"/>
          <w14:textFill>
            <w14:solidFill>
              <w14:schemeClr w14:val="tx1"/>
            </w14:solidFill>
          </w14:textFill>
        </w:rPr>
        <w:t>，保障教育教学需要。</w:t>
      </w:r>
    </w:p>
    <w:p>
      <w:pPr>
        <w:ind w:firstLine="640" w:firstLineChars="200"/>
        <w:rPr>
          <w:rFonts w:ascii="仿宋_GB2312" w:hAnsi="黑体" w:eastAsia="仿宋_GB2312" w:cs="华文仿宋"/>
          <w:b w:val="0"/>
          <w:bCs/>
          <w:color w:val="000000" w:themeColor="text1"/>
          <w:sz w:val="32"/>
          <w:szCs w:val="32"/>
          <w14:textFill>
            <w14:solidFill>
              <w14:schemeClr w14:val="tx1"/>
            </w14:solidFill>
          </w14:textFill>
        </w:rPr>
      </w:pPr>
      <w:r>
        <w:rPr>
          <w:rFonts w:hint="eastAsia" w:ascii="Times New Roman" w:hAnsi="Times New Roman" w:eastAsia="仿宋_GB2312"/>
          <w:b w:val="0"/>
          <w:bCs/>
          <w:sz w:val="32"/>
          <w:szCs w:val="21"/>
        </w:rPr>
        <w:t>（二）支持新建、改扩建必要的义务教育学校，有序</w:t>
      </w:r>
      <w:r>
        <w:rPr>
          <w:rFonts w:hint="eastAsia" w:ascii="Times New Roman" w:hAnsi="Times New Roman" w:eastAsia="仿宋_GB2312"/>
          <w:b w:val="0"/>
          <w:bCs/>
          <w:sz w:val="32"/>
          <w:szCs w:val="21"/>
          <w:lang w:eastAsia="zh-CN"/>
        </w:rPr>
        <w:t>扩大城镇</w:t>
      </w:r>
      <w:r>
        <w:rPr>
          <w:rFonts w:hint="eastAsia" w:ascii="Times New Roman" w:hAnsi="Times New Roman" w:eastAsia="仿宋_GB2312"/>
          <w:b w:val="0"/>
          <w:bCs/>
          <w:sz w:val="32"/>
          <w:szCs w:val="21"/>
        </w:rPr>
        <w:t>学位供给，巩固</w:t>
      </w:r>
      <w:r>
        <w:rPr>
          <w:rFonts w:hint="eastAsia" w:ascii="Times New Roman" w:hAnsi="Times New Roman" w:eastAsia="仿宋_GB2312"/>
          <w:b w:val="0"/>
          <w:bCs/>
          <w:sz w:val="32"/>
          <w:szCs w:val="21"/>
          <w:lang w:eastAsia="zh-CN"/>
        </w:rPr>
        <w:t>消除</w:t>
      </w:r>
      <w:r>
        <w:rPr>
          <w:rFonts w:hint="eastAsia" w:ascii="Times New Roman" w:hAnsi="Times New Roman" w:eastAsia="仿宋_GB2312"/>
          <w:b w:val="0"/>
          <w:bCs/>
          <w:sz w:val="32"/>
          <w:szCs w:val="21"/>
        </w:rPr>
        <w:t>“大班额”成果。</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（三）支持</w:t>
      </w:r>
      <w:r>
        <w:rPr>
          <w:rFonts w:ascii="Times New Roman" w:hAnsi="Times New Roman" w:eastAsia="仿宋_GB2312" w:cs="Times New Roman"/>
          <w:b w:val="0"/>
          <w:bCs/>
          <w:sz w:val="32"/>
          <w:szCs w:val="32"/>
        </w:rPr>
        <w:t>学校网络设施</w:t>
      </w:r>
      <w:r>
        <w:rPr>
          <w:rFonts w:hint="eastAsia" w:ascii="Times New Roman" w:hAnsi="Times New Roman" w:eastAsia="仿宋_GB2312" w:cs="Times New Roman"/>
          <w:b w:val="0"/>
          <w:bCs/>
          <w:sz w:val="32"/>
          <w:szCs w:val="32"/>
        </w:rPr>
        <w:t>设备</w:t>
      </w:r>
      <w:r>
        <w:rPr>
          <w:rFonts w:ascii="Times New Roman" w:hAnsi="Times New Roman" w:eastAsia="仿宋_GB2312" w:cs="Times New Roman"/>
          <w:b w:val="0"/>
          <w:bCs/>
          <w:sz w:val="32"/>
          <w:szCs w:val="32"/>
        </w:rPr>
        <w:t>和“三个课堂”建设</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b w:val="0"/>
          <w:bCs/>
          <w:sz w:val="32"/>
          <w:szCs w:val="21"/>
        </w:rPr>
        <w:t>配备体育、美育和劳动教育所需</w:t>
      </w:r>
      <w:r>
        <w:rPr>
          <w:rFonts w:hint="eastAsia" w:ascii="Times New Roman" w:hAnsi="Times New Roman" w:eastAsia="仿宋_GB2312"/>
          <w:b w:val="0"/>
          <w:bCs/>
          <w:sz w:val="32"/>
          <w:szCs w:val="21"/>
          <w:lang w:eastAsia="zh-CN"/>
        </w:rPr>
        <w:t>必要</w:t>
      </w:r>
      <w:r>
        <w:rPr>
          <w:rFonts w:hint="eastAsia" w:ascii="Times New Roman" w:hAnsi="Times New Roman" w:eastAsia="仿宋_GB2312"/>
          <w:b w:val="0"/>
          <w:bCs/>
          <w:sz w:val="32"/>
          <w:szCs w:val="21"/>
        </w:rPr>
        <w:t>设施设备，</w:t>
      </w:r>
      <w:r>
        <w:rPr>
          <w:rFonts w:ascii="Times New Roman" w:hAnsi="Times New Roman" w:eastAsia="仿宋_GB2312" w:cs="Times New Roman"/>
          <w:b w:val="0"/>
          <w:bCs/>
          <w:sz w:val="32"/>
          <w:szCs w:val="32"/>
        </w:rPr>
        <w:t>建设必要的体育、美育场地和劳动教育场所，</w:t>
      </w:r>
      <w:r>
        <w:rPr>
          <w:rFonts w:hint="eastAsia" w:ascii="Times New Roman" w:hAnsi="Times New Roman" w:eastAsia="仿宋_GB2312" w:cs="Times New Roman"/>
          <w:b w:val="0"/>
          <w:bCs/>
          <w:sz w:val="32"/>
          <w:szCs w:val="32"/>
          <w:lang w:eastAsia="zh-CN"/>
        </w:rPr>
        <w:t>改善校园文化环境</w:t>
      </w:r>
      <w:r>
        <w:rPr>
          <w:rFonts w:hint="eastAsia" w:ascii="Times New Roman" w:hAnsi="Times New Roman" w:eastAsia="仿宋_GB2312"/>
          <w:b w:val="0"/>
          <w:bCs/>
          <w:sz w:val="32"/>
          <w:szCs w:val="21"/>
        </w:rPr>
        <w:t>。</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补助资金支持的学校必须是已列入当地学校布局规划、拟长期保留的义务教育阶段公办学校。完全中学和十二年一贯制学校的高中部以及因打造“重点校”而形成的超大规模学校不纳入支持范围。</w:t>
      </w:r>
    </w:p>
    <w:p>
      <w:pPr>
        <w:ind w:firstLine="640" w:firstLineChars="200"/>
        <w:rPr>
          <w:rFonts w:hint="eastAsia" w:ascii="Times New Roman" w:hAnsi="Times New Roman" w:eastAsia="仿宋_GB2312"/>
          <w:b w:val="0"/>
          <w:bCs/>
          <w:sz w:val="32"/>
          <w:szCs w:val="21"/>
        </w:rPr>
      </w:pPr>
      <w:r>
        <w:rPr>
          <w:rFonts w:hint="eastAsia" w:ascii="Times New Roman" w:hAnsi="Times New Roman" w:eastAsia="仿宋_GB2312" w:cs="Times New Roman"/>
          <w:b w:val="0"/>
          <w:bCs/>
          <w:sz w:val="32"/>
          <w:szCs w:val="32"/>
        </w:rPr>
        <w:t>礼堂、体育馆、游泳馆（池）、教师周转宿舍和</w:t>
      </w:r>
      <w:r>
        <w:rPr>
          <w:rFonts w:hint="eastAsia" w:ascii="Times New Roman" w:hAnsi="Times New Roman" w:eastAsia="仿宋_GB2312"/>
          <w:b w:val="0"/>
          <w:bCs/>
          <w:sz w:val="32"/>
          <w:szCs w:val="21"/>
        </w:rPr>
        <w:t>独立建筑的办公楼建设，校舍日常维修改造和抗震加固，零星设备购置，教育行政部门机关及直属非教学机构的建设和设备购置，以及其他超越办学标准的事项，不得列入补助资金使用范围。</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第五条</w:t>
      </w:r>
      <w:r>
        <w:rPr>
          <w:rFonts w:hint="eastAsia" w:ascii="Times New Roman" w:hAnsi="Times New Roman" w:eastAsia="仿宋_GB2312"/>
          <w:b w:val="0"/>
          <w:bCs/>
          <w:sz w:val="32"/>
          <w:szCs w:val="21"/>
        </w:rPr>
        <w:t xml:space="preserve">  补助资金由财政部会同教育部共同管理。教育部负责审核地方提出的区域绩效目标等相关材料和数据，提供资金测算需要的基础数据，并对提供的基础数据的准确性、及时性负责。财政部根据预算管理相关规定，会同教育部研究确定有关省份补助资金预算金额、资金的整体绩效目标。</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省级财政、教育部门负责明确省级及省以下各级财政、教育部门在基础数据审核、资金安排、使用管理等方面的责任，切实加强资金管理。</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第六条</w:t>
      </w:r>
      <w:r>
        <w:rPr>
          <w:rFonts w:hint="eastAsia" w:ascii="Times New Roman" w:hAnsi="Times New Roman" w:eastAsia="仿宋_GB2312"/>
          <w:b w:val="0"/>
          <w:bCs/>
          <w:sz w:val="32"/>
          <w:szCs w:val="21"/>
        </w:rPr>
        <w:t xml:space="preserve">  </w:t>
      </w:r>
      <w:r>
        <w:rPr>
          <w:rFonts w:hint="eastAsia" w:ascii="Times New Roman" w:hAnsi="Times New Roman" w:eastAsia="仿宋_GB2312"/>
          <w:b w:val="0"/>
          <w:bCs/>
          <w:color w:val="auto"/>
          <w:sz w:val="32"/>
          <w:szCs w:val="21"/>
          <w:highlight w:val="none"/>
          <w:shd w:val="clear" w:color="FFFFFF"/>
        </w:rPr>
        <w:t>补助资金采取因素法分配，首先按照西部、中部、东部各占50%、40%、10%的区域因素确定分地区资金规模，在此基础上再按基础因素、投入因素分配到有关省份，</w:t>
      </w:r>
      <w:r>
        <w:rPr>
          <w:rFonts w:hint="eastAsia" w:ascii="Times New Roman" w:hAnsi="Times New Roman" w:eastAsia="仿宋_GB2312"/>
          <w:b w:val="0"/>
          <w:bCs/>
          <w:sz w:val="32"/>
          <w:szCs w:val="21"/>
        </w:rPr>
        <w:t>重点向基础薄弱、财力困难的省份倾斜。其中：</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基础因素（权重80%），主要考虑</w:t>
      </w:r>
      <w:r>
        <w:rPr>
          <w:rFonts w:hint="eastAsia" w:ascii="Times New Roman" w:hAnsi="Times New Roman" w:eastAsia="仿宋_GB2312"/>
          <w:b w:val="0"/>
          <w:bCs/>
          <w:sz w:val="32"/>
          <w:szCs w:val="21"/>
          <w:lang w:eastAsia="zh-CN"/>
        </w:rPr>
        <w:t>学生数等</w:t>
      </w:r>
      <w:r>
        <w:rPr>
          <w:rFonts w:hint="eastAsia" w:ascii="Times New Roman" w:hAnsi="Times New Roman" w:eastAsia="仿宋_GB2312"/>
          <w:b w:val="0"/>
          <w:bCs/>
          <w:sz w:val="32"/>
          <w:szCs w:val="21"/>
        </w:rPr>
        <w:t>事业发展</w:t>
      </w:r>
      <w:r>
        <w:rPr>
          <w:rFonts w:hint="eastAsia" w:ascii="Times New Roman" w:hAnsi="Times New Roman" w:eastAsia="仿宋_GB2312"/>
          <w:b w:val="0"/>
          <w:bCs/>
          <w:sz w:val="32"/>
          <w:szCs w:val="21"/>
          <w:lang w:eastAsia="zh-CN"/>
        </w:rPr>
        <w:t>情况，以及</w:t>
      </w:r>
      <w:r>
        <w:rPr>
          <w:rFonts w:hint="eastAsia" w:ascii="Times New Roman" w:hAnsi="Times New Roman" w:eastAsia="仿宋_GB2312"/>
          <w:b w:val="0"/>
          <w:bCs/>
          <w:sz w:val="32"/>
          <w:szCs w:val="21"/>
        </w:rPr>
        <w:t>巩固脱贫攻坚成果与乡村振兴有效衔接、落实</w:t>
      </w:r>
      <w:r>
        <w:rPr>
          <w:rFonts w:hint="eastAsia" w:ascii="Times New Roman" w:hAnsi="Times New Roman" w:eastAsia="仿宋_GB2312"/>
          <w:b w:val="0"/>
          <w:bCs/>
          <w:sz w:val="32"/>
          <w:szCs w:val="21"/>
          <w:lang w:eastAsia="zh-CN"/>
        </w:rPr>
        <w:t>党</w:t>
      </w:r>
      <w:r>
        <w:rPr>
          <w:rFonts w:hint="eastAsia" w:ascii="Times New Roman" w:hAnsi="Times New Roman" w:eastAsia="仿宋_GB2312"/>
          <w:b w:val="0"/>
          <w:bCs/>
          <w:sz w:val="32"/>
          <w:szCs w:val="21"/>
        </w:rPr>
        <w:t>中</w:t>
      </w:r>
      <w:bookmarkStart w:id="0" w:name="_GoBack"/>
      <w:r>
        <w:rPr>
          <w:rFonts w:hint="eastAsia" w:ascii="Times New Roman" w:hAnsi="Times New Roman" w:eastAsia="仿宋_GB2312"/>
          <w:b w:val="0"/>
          <w:bCs/>
          <w:sz w:val="32"/>
          <w:szCs w:val="21"/>
        </w:rPr>
        <w:t>央</w:t>
      </w:r>
      <w:r>
        <w:rPr>
          <w:rFonts w:hint="eastAsia" w:ascii="Times New Roman" w:hAnsi="Times New Roman" w:eastAsia="仿宋_GB2312"/>
          <w:b w:val="0"/>
          <w:bCs/>
          <w:sz w:val="32"/>
          <w:szCs w:val="21"/>
          <w:lang w:eastAsia="zh-CN"/>
        </w:rPr>
        <w:t>决策部署</w:t>
      </w:r>
      <w:r>
        <w:rPr>
          <w:rFonts w:hint="eastAsia" w:ascii="Times New Roman" w:hAnsi="Times New Roman" w:eastAsia="仿宋_GB2312"/>
          <w:b w:val="0"/>
          <w:bCs/>
          <w:sz w:val="32"/>
          <w:szCs w:val="21"/>
        </w:rPr>
        <w:t>等因素。各因素数据主要通过相关统计资料获得。</w:t>
      </w:r>
    </w:p>
    <w:bookmarkEnd w:id="0"/>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投入因素（权重20%），主要考虑生均一般公共预算教育支出等反映地方财政努力程度的因素。各因素数据</w:t>
      </w:r>
      <w:r>
        <w:rPr>
          <w:rFonts w:hint="eastAsia" w:ascii="Times New Roman" w:hAnsi="Times New Roman" w:eastAsia="仿宋_GB2312"/>
          <w:b w:val="0"/>
          <w:bCs/>
          <w:sz w:val="32"/>
          <w:szCs w:val="21"/>
          <w:lang w:eastAsia="zh-CN"/>
        </w:rPr>
        <w:t>主要</w:t>
      </w:r>
      <w:r>
        <w:rPr>
          <w:rFonts w:hint="eastAsia" w:ascii="Times New Roman" w:hAnsi="Times New Roman" w:eastAsia="仿宋_GB2312"/>
          <w:b w:val="0"/>
          <w:bCs/>
          <w:sz w:val="32"/>
          <w:szCs w:val="21"/>
        </w:rPr>
        <w:t>通过相关统计资料获得。</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财政部会同教育部综合考虑各地工作进展等情况，研究确定绩效调节系数，对资金分配情况进行适当调节。</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计算公式为：</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某省份补助资金=（该省份基础因素/∑有关省份基础因素×权重+该省份投入因素/∑有关省份投入因素×权重）×补助资金年度预算地区资金总额×绩效调节系数</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财政部、教育部根据党中央、国务院有关决策部署和义务教育改革发展新形势等情况，适时调整完善相关分配因素、权重、计算公式等。</w:t>
      </w:r>
    </w:p>
    <w:p>
      <w:pPr>
        <w:ind w:firstLine="640" w:firstLineChars="200"/>
        <w:rPr>
          <w:rFonts w:ascii="Times New Roman" w:hAnsi="Times New Roman" w:eastAsia="仿宋_GB2312"/>
          <w:b w:val="0"/>
          <w:bCs/>
          <w:color w:val="FF0000"/>
          <w:sz w:val="32"/>
          <w:szCs w:val="21"/>
        </w:rPr>
      </w:pPr>
      <w:r>
        <w:rPr>
          <w:rFonts w:hint="eastAsia" w:ascii="黑体" w:hAnsi="黑体" w:eastAsia="黑体" w:cs="黑体"/>
          <w:b w:val="0"/>
          <w:bCs/>
          <w:sz w:val="32"/>
          <w:szCs w:val="21"/>
        </w:rPr>
        <w:t>第七条</w:t>
      </w:r>
      <w:r>
        <w:rPr>
          <w:rFonts w:hint="eastAsia" w:ascii="Times New Roman" w:hAnsi="Times New Roman" w:eastAsia="仿宋_GB2312"/>
          <w:b w:val="0"/>
          <w:bCs/>
          <w:sz w:val="32"/>
          <w:szCs w:val="21"/>
        </w:rPr>
        <w:t xml:space="preserve">  省级财政、教育部门应当于每年2月底前向财政部、教育部报送当年补助资金申报材料，并抄送财政部当地监管局。</w:t>
      </w:r>
      <w:r>
        <w:rPr>
          <w:rFonts w:hint="eastAsia" w:ascii="Times New Roman" w:hAnsi="Times New Roman" w:eastAsia="仿宋_GB2312"/>
          <w:b w:val="0"/>
          <w:bCs/>
          <w:color w:val="auto"/>
          <w:sz w:val="32"/>
          <w:szCs w:val="21"/>
        </w:rPr>
        <w:t>申报材料主要包括：</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（一）上年度工作总结，包括上年度补助资金使用情况、年度绩效目标完成情况、绩效评价结果、地方财政投入情况、主要管理措施、问题分析及对策等。</w:t>
      </w:r>
    </w:p>
    <w:p>
      <w:pPr>
        <w:ind w:firstLine="640" w:firstLineChars="200"/>
        <w:rPr>
          <w:rFonts w:hint="eastAsia" w:ascii="Times New Roman" w:hAnsi="Times New Roman" w:eastAsia="仿宋_GB2312"/>
          <w:b w:val="0"/>
          <w:bCs/>
          <w:sz w:val="32"/>
          <w:szCs w:val="21"/>
        </w:rPr>
      </w:pPr>
      <w:r>
        <w:rPr>
          <w:rFonts w:hint="eastAsia" w:ascii="Times New Roman" w:hAnsi="Times New Roman" w:eastAsia="仿宋_GB2312"/>
          <w:b w:val="0"/>
          <w:bCs/>
          <w:sz w:val="32"/>
          <w:szCs w:val="21"/>
        </w:rPr>
        <w:t>（二）当年工作计划，主要包括当年全省工作目标</w:t>
      </w:r>
      <w:r>
        <w:rPr>
          <w:rFonts w:hint="eastAsia" w:ascii="Times New Roman" w:hAnsi="Times New Roman" w:eastAsia="仿宋_GB2312"/>
          <w:b w:val="0"/>
          <w:bCs/>
          <w:sz w:val="32"/>
          <w:szCs w:val="21"/>
          <w:lang w:eastAsia="zh-CN"/>
        </w:rPr>
        <w:t>和</w:t>
      </w:r>
      <w:r>
        <w:rPr>
          <w:rFonts w:hint="eastAsia" w:ascii="Times New Roman" w:hAnsi="Times New Roman" w:eastAsia="仿宋_GB2312"/>
          <w:b w:val="0"/>
          <w:bCs/>
          <w:sz w:val="32"/>
          <w:szCs w:val="21"/>
        </w:rPr>
        <w:t>补助</w:t>
      </w:r>
      <w:r>
        <w:rPr>
          <w:rFonts w:hint="eastAsia" w:ascii="Times New Roman" w:hAnsi="Times New Roman" w:eastAsia="仿宋_GB2312"/>
          <w:b w:val="0"/>
          <w:bCs/>
          <w:sz w:val="32"/>
          <w:szCs w:val="21"/>
          <w:lang w:eastAsia="zh-CN"/>
        </w:rPr>
        <w:t>资金</w:t>
      </w:r>
      <w:r>
        <w:rPr>
          <w:rFonts w:hint="eastAsia" w:ascii="Times New Roman" w:hAnsi="Times New Roman" w:eastAsia="仿宋_GB2312"/>
          <w:b w:val="0"/>
          <w:bCs/>
          <w:sz w:val="32"/>
          <w:szCs w:val="21"/>
        </w:rPr>
        <w:t>区域绩效目标、重点任务和资金安排计划，绩效指标要指向明确、细化量化、合理可行、相应匹配。</w:t>
      </w:r>
    </w:p>
    <w:p>
      <w:pPr>
        <w:numPr>
          <w:ilvl w:val="-1"/>
          <w:numId w:val="0"/>
        </w:numPr>
        <w:ind w:firstLine="0" w:firstLineChars="0"/>
        <w:rPr>
          <w:rFonts w:hint="eastAsia" w:ascii="Times New Roman" w:hAnsi="Times New Roman" w:eastAsia="仿宋_GB2312"/>
          <w:b w:val="0"/>
          <w:bCs/>
          <w:sz w:val="32"/>
          <w:szCs w:val="21"/>
        </w:rPr>
      </w:pPr>
      <w:r>
        <w:rPr>
          <w:rFonts w:hint="eastAsia" w:ascii="黑体" w:hAnsi="黑体" w:eastAsia="黑体" w:cs="黑体"/>
          <w:b w:val="0"/>
          <w:bCs/>
          <w:sz w:val="32"/>
          <w:szCs w:val="21"/>
          <w:lang w:val="en-US" w:eastAsia="zh-CN"/>
        </w:rPr>
        <w:t xml:space="preserve">    </w:t>
      </w:r>
      <w:r>
        <w:rPr>
          <w:rFonts w:hint="eastAsia" w:ascii="黑体" w:hAnsi="黑体" w:eastAsia="黑体" w:cs="黑体"/>
          <w:b w:val="0"/>
          <w:bCs/>
          <w:sz w:val="32"/>
          <w:szCs w:val="21"/>
        </w:rPr>
        <w:t>第</w:t>
      </w:r>
      <w:r>
        <w:rPr>
          <w:rFonts w:hint="eastAsia" w:ascii="黑体" w:hAnsi="黑体" w:eastAsia="黑体" w:cs="黑体"/>
          <w:b w:val="0"/>
          <w:bCs/>
          <w:sz w:val="32"/>
          <w:szCs w:val="21"/>
          <w:lang w:eastAsia="zh-CN"/>
        </w:rPr>
        <w:t>八</w:t>
      </w:r>
      <w:r>
        <w:rPr>
          <w:rFonts w:hint="eastAsia" w:ascii="黑体" w:hAnsi="黑体" w:eastAsia="黑体" w:cs="黑体"/>
          <w:b w:val="0"/>
          <w:bCs/>
          <w:sz w:val="32"/>
          <w:szCs w:val="21"/>
        </w:rPr>
        <w:t>条</w:t>
      </w:r>
      <w:r>
        <w:rPr>
          <w:rFonts w:hint="eastAsia" w:ascii="黑体" w:hAnsi="黑体" w:eastAsia="黑体" w:cs="黑体"/>
          <w:b w:val="0"/>
          <w:bCs/>
          <w:sz w:val="32"/>
          <w:szCs w:val="21"/>
          <w:lang w:val="en-US" w:eastAsia="zh-CN"/>
        </w:rPr>
        <w:t xml:space="preserve">  </w:t>
      </w:r>
      <w:r>
        <w:rPr>
          <w:rFonts w:hint="eastAsia" w:ascii="Times New Roman" w:hAnsi="Times New Roman" w:eastAsia="仿宋_GB2312"/>
          <w:b w:val="0"/>
          <w:bCs/>
          <w:sz w:val="32"/>
          <w:szCs w:val="21"/>
        </w:rPr>
        <w:t>财政部于每年全国人民代表大会批准中央预算后三十日内，会同教育部正式下达补助资金预算，并抄送财政部当地监管局。每年10月31日前，提前下达下一年度补助资金预计数。省级财政部门在收到补助资金预算后，应当会同</w:t>
      </w:r>
      <w:r>
        <w:rPr>
          <w:rFonts w:hint="eastAsia" w:ascii="Times New Roman" w:hAnsi="Times New Roman" w:eastAsia="仿宋_GB2312"/>
          <w:b w:val="0"/>
          <w:bCs/>
          <w:sz w:val="32"/>
          <w:szCs w:val="21"/>
          <w:lang w:eastAsia="zh-CN"/>
        </w:rPr>
        <w:t>省级</w:t>
      </w:r>
      <w:r>
        <w:rPr>
          <w:rFonts w:hint="eastAsia" w:ascii="Times New Roman" w:hAnsi="Times New Roman" w:eastAsia="仿宋_GB2312"/>
          <w:b w:val="0"/>
          <w:bCs/>
          <w:sz w:val="32"/>
          <w:szCs w:val="21"/>
        </w:rPr>
        <w:t>教育部门在三十日内按照预算级次合理分配、及时下达本行政区域县级以上各级政府部门，并抄送财政部当地监管局。</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第九条</w:t>
      </w:r>
      <w:r>
        <w:rPr>
          <w:rFonts w:hint="eastAsia" w:ascii="Times New Roman" w:hAnsi="Times New Roman" w:eastAsia="仿宋_GB2312"/>
          <w:b w:val="0"/>
          <w:bCs/>
          <w:sz w:val="32"/>
          <w:szCs w:val="21"/>
        </w:rPr>
        <w:t xml:space="preserve">  补助资金支付执行国库集中支付制度。涉及政府采购的，按照政府采购有关法律法规和有关制度执行。属于基本建设的项目，应当严格履行基本建设程序，执行相关建设标准和要求，确保工程质量。</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第十条</w:t>
      </w:r>
      <w:r>
        <w:rPr>
          <w:rFonts w:hint="eastAsia" w:ascii="Times New Roman" w:hAnsi="Times New Roman" w:eastAsia="仿宋_GB2312"/>
          <w:b w:val="0"/>
          <w:bCs/>
          <w:sz w:val="32"/>
          <w:szCs w:val="21"/>
        </w:rPr>
        <w:t xml:space="preserve">  省级财政、教育部门在分配补助资金时，应当结合本地区年度重点工作和省级财政安排相关资金，加大省级统筹力度，重点向</w:t>
      </w:r>
      <w:r>
        <w:rPr>
          <w:rFonts w:hint="eastAsia" w:ascii="Times New Roman" w:hAnsi="Times New Roman" w:eastAsia="仿宋_GB2312"/>
          <w:b w:val="0"/>
          <w:bCs/>
          <w:sz w:val="32"/>
          <w:szCs w:val="21"/>
          <w:lang w:eastAsia="zh-CN"/>
        </w:rPr>
        <w:t>欠发达地区、民族地区、边境地区、革命老区</w:t>
      </w:r>
      <w:r>
        <w:rPr>
          <w:rFonts w:hint="eastAsia" w:ascii="Times New Roman" w:hAnsi="Times New Roman" w:eastAsia="仿宋_GB2312"/>
          <w:b w:val="0"/>
          <w:bCs/>
          <w:sz w:val="32"/>
          <w:szCs w:val="21"/>
        </w:rPr>
        <w:t>倾斜。要做好与</w:t>
      </w:r>
      <w:r>
        <w:rPr>
          <w:rFonts w:hint="eastAsia" w:ascii="仿宋_GB2312" w:hAnsi="黑体" w:eastAsia="仿宋_GB2312" w:cs="华文仿宋"/>
          <w:b w:val="0"/>
          <w:bCs/>
          <w:color w:val="000000" w:themeColor="text1"/>
          <w:sz w:val="32"/>
          <w:szCs w:val="32"/>
          <w14:textFill>
            <w14:solidFill>
              <w14:schemeClr w14:val="tx1"/>
            </w14:solidFill>
          </w14:textFill>
        </w:rPr>
        <w:t>农村义务教育学校校舍安全保障长效机制、</w:t>
      </w:r>
      <w:r>
        <w:rPr>
          <w:rFonts w:hint="eastAsia" w:ascii="Times New Roman" w:hAnsi="Times New Roman" w:eastAsia="仿宋_GB2312"/>
          <w:b w:val="0"/>
          <w:bCs/>
          <w:sz w:val="32"/>
          <w:szCs w:val="21"/>
        </w:rPr>
        <w:t>发展改革部门安排基本建设项目等各渠道资金的统筹和对接，防止资金、项目安排重复交叉或缺位。</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县（区）级财政、教育部门应当落实资金管理主体责任，加强区域内相关教育经费的统筹安排和使用，兼顾不同规模学校运转的实际情况，坚持“实用、够用、安全、节俭”的原则，严禁超标准建设和豪华建设。要加强学校预算管理，细化预算编制，硬化预算执行，强化预算监督；规范学校财务管理，确保补助资金使用安全、规范和有效。</w:t>
      </w:r>
    </w:p>
    <w:p>
      <w:pPr>
        <w:ind w:firstLine="640" w:firstLineChars="200"/>
        <w:rPr>
          <w:rFonts w:ascii="Times New Roman" w:hAnsi="Times New Roman" w:eastAsia="仿宋_GB2312"/>
          <w:b w:val="0"/>
          <w:bCs/>
          <w:sz w:val="32"/>
          <w:szCs w:val="21"/>
        </w:rPr>
      </w:pPr>
      <w:r>
        <w:rPr>
          <w:rFonts w:hint="eastAsia" w:ascii="Times New Roman" w:hAnsi="Times New Roman" w:eastAsia="仿宋_GB2312"/>
          <w:b w:val="0"/>
          <w:bCs/>
          <w:sz w:val="32"/>
          <w:szCs w:val="21"/>
        </w:rPr>
        <w:t>各级财政、教育部门要加强财政风险控制，强化流程控制、依法合规分配和使用资金，实行不相容岗位（职责）分离控制。</w:t>
      </w:r>
    </w:p>
    <w:p>
      <w:pPr>
        <w:ind w:firstLine="640" w:firstLineChars="200"/>
        <w:rPr>
          <w:rFonts w:ascii="黑体" w:hAnsi="黑体" w:eastAsia="黑体" w:cs="黑体"/>
          <w:b w:val="0"/>
          <w:bCs/>
          <w:sz w:val="32"/>
          <w:szCs w:val="21"/>
        </w:rPr>
      </w:pPr>
      <w:r>
        <w:rPr>
          <w:rFonts w:hint="eastAsia" w:ascii="黑体" w:hAnsi="黑体" w:eastAsia="黑体" w:cs="黑体"/>
          <w:b w:val="0"/>
          <w:bCs/>
          <w:sz w:val="32"/>
          <w:szCs w:val="21"/>
        </w:rPr>
        <w:t>第十一条</w:t>
      </w:r>
      <w:r>
        <w:rPr>
          <w:rFonts w:hint="eastAsia" w:ascii="Times New Roman" w:hAnsi="Times New Roman" w:eastAsia="仿宋_GB2312"/>
          <w:b w:val="0"/>
          <w:bCs/>
          <w:sz w:val="32"/>
          <w:szCs w:val="21"/>
        </w:rPr>
        <w:t xml:space="preserve">  各地要</w:t>
      </w:r>
      <w:r>
        <w:rPr>
          <w:rFonts w:hint="eastAsia" w:ascii="Times New Roman" w:hAnsi="Times New Roman" w:eastAsia="仿宋_GB2312"/>
          <w:b w:val="0"/>
          <w:bCs/>
          <w:sz w:val="32"/>
          <w:szCs w:val="21"/>
          <w:lang w:eastAsia="zh-CN"/>
        </w:rPr>
        <w:t>切实做好</w:t>
      </w:r>
      <w:r>
        <w:rPr>
          <w:rFonts w:hint="eastAsia" w:ascii="Times New Roman" w:hAnsi="Times New Roman" w:eastAsia="仿宋_GB2312"/>
          <w:b w:val="0"/>
          <w:bCs/>
          <w:sz w:val="32"/>
          <w:szCs w:val="21"/>
        </w:rPr>
        <w:t>项目</w:t>
      </w:r>
      <w:r>
        <w:rPr>
          <w:rFonts w:hint="eastAsia" w:ascii="Times New Roman" w:hAnsi="Times New Roman" w:eastAsia="仿宋_GB2312"/>
          <w:b w:val="0"/>
          <w:bCs/>
          <w:sz w:val="32"/>
          <w:szCs w:val="21"/>
          <w:lang w:eastAsia="zh-CN"/>
        </w:rPr>
        <w:t>前期准备工作</w:t>
      </w:r>
      <w:r>
        <w:rPr>
          <w:rFonts w:hint="eastAsia" w:ascii="Times New Roman" w:hAnsi="Times New Roman" w:eastAsia="仿宋_GB2312"/>
          <w:b w:val="0"/>
          <w:bCs/>
          <w:sz w:val="32"/>
          <w:szCs w:val="21"/>
        </w:rPr>
        <w:t>，</w:t>
      </w:r>
      <w:r>
        <w:rPr>
          <w:rFonts w:hint="eastAsia" w:ascii="Times New Roman" w:hAnsi="Times New Roman" w:eastAsia="仿宋_GB2312"/>
          <w:b w:val="0"/>
          <w:bCs/>
          <w:sz w:val="32"/>
          <w:szCs w:val="21"/>
          <w:lang w:eastAsia="zh-CN"/>
        </w:rPr>
        <w:t>强化项目管理，</w:t>
      </w:r>
      <w:r>
        <w:rPr>
          <w:rFonts w:hint="eastAsia" w:ascii="Times New Roman" w:hAnsi="Times New Roman" w:eastAsia="仿宋_GB2312"/>
          <w:b w:val="0"/>
          <w:bCs/>
          <w:sz w:val="32"/>
          <w:szCs w:val="21"/>
        </w:rPr>
        <w:t>加快预算执行进度。补助资金原则上应在当年执行完毕，年度未支出的资金按财政部结转结余资金管理有关规定处理。</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第十二条</w:t>
      </w:r>
      <w:r>
        <w:rPr>
          <w:rFonts w:hint="eastAsia" w:ascii="Times New Roman" w:hAnsi="Times New Roman" w:eastAsia="仿宋_GB2312"/>
          <w:b w:val="0"/>
          <w:bCs/>
          <w:sz w:val="32"/>
          <w:szCs w:val="21"/>
        </w:rPr>
        <w:t xml:space="preserve"> 各级财政、教育部门要按照全面实施预算绩效管理的要求，建立健全全过程预算绩效管理机制，按规定科学合理设定绩效目标，对照绩效目标做好绩效监控，认真组织开展绩效评价，强化评价结果运用，做好绩效信息公开，提高补助资金配置效率和使用效益。财政部、教育部根据工作需要适时组织开展重点绩效评价。</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第十三条</w:t>
      </w:r>
      <w:r>
        <w:rPr>
          <w:rFonts w:hint="eastAsia" w:ascii="Times New Roman" w:hAnsi="Times New Roman" w:eastAsia="仿宋_GB2312"/>
          <w:b w:val="0"/>
          <w:bCs/>
          <w:sz w:val="32"/>
          <w:szCs w:val="21"/>
        </w:rPr>
        <w:t xml:space="preserve">  财政部各地监管局应当按照工作职责和财政部要求，对补助资金实施监管。地方各级财政部门应当会同同级教育部门，按照各自职责加强项目审核申报、经费使用管理等工作，建立</w:t>
      </w:r>
      <w:r>
        <w:rPr>
          <w:rFonts w:hint="eastAsia" w:ascii="Times New Roman" w:hAnsi="Times New Roman" w:eastAsia="仿宋_GB2312"/>
          <w:b w:val="0"/>
          <w:bCs/>
          <w:sz w:val="32"/>
          <w:szCs w:val="21"/>
          <w:lang w:eastAsia="zh-CN"/>
        </w:rPr>
        <w:t>“</w:t>
      </w:r>
      <w:r>
        <w:rPr>
          <w:rFonts w:hint="eastAsia" w:ascii="Times New Roman" w:hAnsi="Times New Roman" w:eastAsia="仿宋_GB2312"/>
          <w:b w:val="0"/>
          <w:bCs/>
          <w:sz w:val="32"/>
          <w:szCs w:val="21"/>
        </w:rPr>
        <w:t>谁使用、谁负责</w:t>
      </w:r>
      <w:r>
        <w:rPr>
          <w:rFonts w:hint="eastAsia" w:ascii="Times New Roman" w:hAnsi="Times New Roman" w:eastAsia="仿宋_GB2312"/>
          <w:b w:val="0"/>
          <w:bCs/>
          <w:sz w:val="32"/>
          <w:szCs w:val="21"/>
          <w:lang w:eastAsia="zh-CN"/>
        </w:rPr>
        <w:t>”</w:t>
      </w:r>
      <w:r>
        <w:rPr>
          <w:rFonts w:hint="eastAsia" w:ascii="Times New Roman" w:hAnsi="Times New Roman" w:eastAsia="仿宋_GB2312"/>
          <w:b w:val="0"/>
          <w:bCs/>
          <w:sz w:val="32"/>
          <w:szCs w:val="21"/>
        </w:rPr>
        <w:t>的责任机制。严禁将补助资金用于平衡预算、偿还债务、支付利息、对外投资等支出，不得从补助资金中提取工作经费或管理经费。</w:t>
      </w:r>
    </w:p>
    <w:p>
      <w:pPr>
        <w:ind w:firstLine="640" w:firstLineChars="200"/>
        <w:rPr>
          <w:rFonts w:hint="eastAsia" w:ascii="Times New Roman" w:hAnsi="Times New Roman" w:eastAsia="仿宋_GB2312"/>
          <w:b w:val="0"/>
          <w:bCs/>
          <w:sz w:val="32"/>
          <w:szCs w:val="21"/>
          <w:lang w:eastAsia="zh-CN"/>
        </w:rPr>
      </w:pPr>
      <w:r>
        <w:rPr>
          <w:rFonts w:hint="eastAsia" w:ascii="黑体" w:hAnsi="黑体" w:eastAsia="黑体" w:cs="黑体"/>
          <w:b w:val="0"/>
          <w:bCs/>
          <w:sz w:val="32"/>
          <w:szCs w:val="21"/>
        </w:rPr>
        <w:t>第十四条</w:t>
      </w:r>
      <w:r>
        <w:rPr>
          <w:rFonts w:hint="eastAsia" w:ascii="Times New Roman" w:hAnsi="Times New Roman" w:eastAsia="仿宋_GB2312"/>
          <w:b w:val="0"/>
          <w:bCs/>
          <w:sz w:val="32"/>
          <w:szCs w:val="21"/>
        </w:rPr>
        <w:t xml:space="preserve">  各级财政、教育部门及其工作人员、申报使用补助资金的部门、单位及个人存在违法违规行为的，依法责令改正</w:t>
      </w:r>
      <w:r>
        <w:rPr>
          <w:rFonts w:hint="eastAsia" w:ascii="Times New Roman" w:hAnsi="Times New Roman" w:eastAsia="仿宋_GB2312"/>
          <w:b w:val="0"/>
          <w:bCs/>
          <w:sz w:val="32"/>
          <w:szCs w:val="21"/>
          <w:lang w:eastAsia="zh-CN"/>
        </w:rPr>
        <w:t>并追究相应责任</w:t>
      </w:r>
      <w:r>
        <w:rPr>
          <w:rFonts w:hint="eastAsia" w:ascii="Times New Roman" w:hAnsi="Times New Roman" w:eastAsia="仿宋_GB2312"/>
          <w:b w:val="0"/>
          <w:bCs/>
          <w:sz w:val="32"/>
          <w:szCs w:val="21"/>
        </w:rPr>
        <w:t>；涉嫌犯罪的，依法移送有关机关处理</w:t>
      </w:r>
      <w:r>
        <w:rPr>
          <w:rFonts w:hint="eastAsia" w:ascii="Times New Roman" w:hAnsi="Times New Roman" w:eastAsia="仿宋_GB2312"/>
          <w:b w:val="0"/>
          <w:bCs/>
          <w:sz w:val="32"/>
          <w:szCs w:val="21"/>
          <w:lang w:eastAsia="zh-CN"/>
        </w:rPr>
        <w:t>。</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第十五条</w:t>
      </w:r>
      <w:r>
        <w:rPr>
          <w:rFonts w:hint="eastAsia" w:ascii="Times New Roman" w:hAnsi="Times New Roman" w:eastAsia="仿宋_GB2312"/>
          <w:b w:val="0"/>
          <w:bCs/>
          <w:sz w:val="32"/>
          <w:szCs w:val="21"/>
        </w:rPr>
        <w:t xml:space="preserve">  本办法由财政部、教育部负责解释。各省级财政、教育部门可以根据本办法，结合各地实际，制定具体管理办法，报财政部、教育部备案，并抄送财政部当地监管局。</w:t>
      </w:r>
    </w:p>
    <w:p>
      <w:pPr>
        <w:ind w:firstLine="640" w:firstLineChars="200"/>
        <w:rPr>
          <w:rFonts w:ascii="Times New Roman" w:hAnsi="Times New Roman" w:eastAsia="仿宋_GB2312"/>
          <w:b w:val="0"/>
          <w:bCs/>
          <w:sz w:val="32"/>
          <w:szCs w:val="21"/>
        </w:rPr>
      </w:pPr>
      <w:r>
        <w:rPr>
          <w:rFonts w:hint="eastAsia" w:ascii="黑体" w:hAnsi="黑体" w:eastAsia="黑体" w:cs="黑体"/>
          <w:b w:val="0"/>
          <w:bCs/>
          <w:sz w:val="32"/>
          <w:szCs w:val="21"/>
        </w:rPr>
        <w:t>第十六条</w:t>
      </w:r>
      <w:r>
        <w:rPr>
          <w:rFonts w:hint="eastAsia" w:ascii="Times New Roman" w:hAnsi="Times New Roman" w:eastAsia="仿宋_GB2312"/>
          <w:b w:val="0"/>
          <w:bCs/>
          <w:sz w:val="32"/>
          <w:szCs w:val="21"/>
        </w:rPr>
        <w:t xml:space="preserve">  本办法自印发之日起施行。《财政部 教育部关于印发〈义务教育薄弱环节改善与能力提升补助资金管理办法〉的通知》（财教〔2019〕100号）同时废止。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20"/>
    <w:rsid w:val="007E64C9"/>
    <w:rsid w:val="008E0420"/>
    <w:rsid w:val="00B54975"/>
    <w:rsid w:val="00E83A09"/>
    <w:rsid w:val="031C2C4B"/>
    <w:rsid w:val="0A9A2F57"/>
    <w:rsid w:val="0AFF508E"/>
    <w:rsid w:val="0D7C5D5E"/>
    <w:rsid w:val="1205354F"/>
    <w:rsid w:val="1CBD1B98"/>
    <w:rsid w:val="1FFFBA00"/>
    <w:rsid w:val="2062637C"/>
    <w:rsid w:val="2B6406A2"/>
    <w:rsid w:val="356D77EB"/>
    <w:rsid w:val="399FAEA5"/>
    <w:rsid w:val="447F7350"/>
    <w:rsid w:val="4BA601C5"/>
    <w:rsid w:val="55D634D0"/>
    <w:rsid w:val="57B96A8B"/>
    <w:rsid w:val="65F37B7F"/>
    <w:rsid w:val="6ABFE6D5"/>
    <w:rsid w:val="6B7B0CB3"/>
    <w:rsid w:val="6D326AF4"/>
    <w:rsid w:val="6F7F25B2"/>
    <w:rsid w:val="71DE0EA6"/>
    <w:rsid w:val="73972007"/>
    <w:rsid w:val="7E4D62CB"/>
    <w:rsid w:val="7EEC94EC"/>
    <w:rsid w:val="7EFDFFC7"/>
    <w:rsid w:val="7EFE2558"/>
    <w:rsid w:val="7FFFA8B2"/>
    <w:rsid w:val="987F646F"/>
    <w:rsid w:val="DB7B96FA"/>
    <w:rsid w:val="DBF8B724"/>
    <w:rsid w:val="DDF7CABA"/>
    <w:rsid w:val="F97F4254"/>
    <w:rsid w:val="F9FEB31B"/>
    <w:rsid w:val="FCF3F874"/>
    <w:rsid w:val="FEBB2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jc w:val="center"/>
      <w:outlineLvl w:val="0"/>
    </w:pPr>
    <w:rPr>
      <w:rFonts w:eastAsia="方正小标宋简体" w:cstheme="majorBidi"/>
      <w:bCs/>
      <w:sz w:val="36"/>
      <w:szCs w:val="32"/>
    </w:rPr>
  </w:style>
  <w:style w:type="paragraph" w:customStyle="1" w:styleId="8">
    <w:name w:val="段落正文"/>
    <w:basedOn w:val="1"/>
    <w:qFormat/>
    <w:uiPriority w:val="0"/>
    <w:pPr>
      <w:widowControl/>
      <w:ind w:firstLine="200" w:firstLineChars="200"/>
    </w:p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426</Words>
  <Characters>2433</Characters>
  <Lines>20</Lines>
  <Paragraphs>5</Paragraphs>
  <TotalTime>3</TotalTime>
  <ScaleCrop>false</ScaleCrop>
  <LinksUpToDate>false</LinksUpToDate>
  <CharactersWithSpaces>2854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2021-02-12T18:35:00Z</dcterms:created>
  <dc:creator>admin</dc:creator>
  <cp:lastModifiedBy>liyifeng</cp:lastModifiedBy>
  <cp:lastPrinted>2021-07-09T08:15:00Z</cp:lastPrinted>
  <dcterms:modified xsi:type="dcterms:W3CDTF">2023-06-19T17:02:49Z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B9FAB303ED4748B38460A4E2472B30A8</vt:lpwstr>
  </property>
</Properties>
</file>