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widowControl/>
        <w:jc w:val="center"/>
        <w:rPr>
          <w:rFonts w:hint="eastAsia" w:ascii="方正小标宋简体" w:hAnsi="黑体" w:eastAsia="方正小标宋简体" w:cs="黑体"/>
          <w:color w:val="000000"/>
          <w:kern w:val="0"/>
          <w:sz w:val="44"/>
          <w:szCs w:val="44"/>
        </w:rPr>
      </w:pPr>
      <w:r>
        <w:rPr>
          <w:rFonts w:hint="eastAsia" w:ascii="方正小标宋简体" w:hAnsi="黑体" w:eastAsia="方正小标宋简体" w:cs="黑体"/>
          <w:color w:val="000000"/>
          <w:kern w:val="0"/>
          <w:sz w:val="44"/>
          <w:szCs w:val="44"/>
        </w:rPr>
        <w:t>2020年龙华区交通预联管理工作经费</w:t>
      </w:r>
    </w:p>
    <w:p>
      <w:pPr>
        <w:widowControl/>
        <w:jc w:val="center"/>
        <w:rPr>
          <w:rFonts w:hint="eastAsia" w:ascii="方正小标宋简体" w:hAnsi="黑体" w:eastAsia="方正小标宋简体" w:cs="黑体"/>
          <w:color w:val="000000"/>
          <w:kern w:val="0"/>
          <w:sz w:val="44"/>
          <w:szCs w:val="44"/>
        </w:rPr>
      </w:pPr>
      <w:r>
        <w:rPr>
          <w:rFonts w:hint="eastAsia" w:ascii="方正小标宋简体" w:hAnsi="黑体" w:eastAsia="方正小标宋简体" w:cs="黑体"/>
          <w:color w:val="000000"/>
          <w:kern w:val="0"/>
          <w:sz w:val="44"/>
          <w:szCs w:val="44"/>
        </w:rPr>
        <w:t>项目支出绩效评价报告</w:t>
      </w:r>
    </w:p>
    <w:p>
      <w:pPr>
        <w:rPr>
          <w:rFonts w:ascii="宋体" w:hAnsi="宋体" w:eastAsia="宋体" w:cs="宋体"/>
        </w:rPr>
      </w:pPr>
    </w:p>
    <w:p>
      <w:pPr>
        <w:rPr>
          <w:rFonts w:ascii="宋体" w:hAnsi="宋体" w:eastAsia="宋体" w:cs="宋体"/>
        </w:rPr>
      </w:pPr>
    </w:p>
    <w:p>
      <w:pPr>
        <w:rPr>
          <w:rFonts w:ascii="宋体" w:hAnsi="宋体" w:eastAsia="宋体" w:cs="宋体"/>
        </w:rPr>
      </w:pPr>
      <w:bookmarkStart w:id="13" w:name="_GoBack"/>
      <w:bookmarkEnd w:id="13"/>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2"/>
        <w:numPr>
          <w:numId w:val="0"/>
        </w:numPr>
      </w:pPr>
    </w:p>
    <w:p>
      <w:pPr>
        <w:pStyle w:val="5"/>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jc w:val="center"/>
        <w:rPr>
          <w:rFonts w:hint="eastAsia" w:ascii="宋体" w:hAnsi="宋体" w:eastAsia="宋体" w:cs="宋体"/>
          <w:b w:val="0"/>
          <w:bCs/>
          <w:color w:val="000000"/>
          <w:sz w:val="36"/>
          <w:szCs w:val="36"/>
        </w:rPr>
      </w:pPr>
      <w:r>
        <w:rPr>
          <w:rFonts w:hint="eastAsia" w:ascii="宋体" w:hAnsi="宋体" w:eastAsia="宋体" w:cs="宋体"/>
          <w:b w:val="0"/>
          <w:bCs/>
          <w:color w:val="000000"/>
          <w:sz w:val="36"/>
          <w:szCs w:val="36"/>
        </w:rPr>
        <w:t xml:space="preserve">深圳市龙华区区财政局 </w:t>
      </w:r>
    </w:p>
    <w:p>
      <w:r>
        <w:rPr>
          <w:rFonts w:ascii="仿宋_GB2312" w:hAnsi="楷体" w:eastAsia="仿宋_GB2312" w:cs="楷体_GB2312"/>
          <w:color w:val="000000"/>
          <w:spacing w:val="-20"/>
          <w:sz w:val="32"/>
          <w:szCs w:val="32"/>
        </w:rPr>
        <w:br w:type="page"/>
      </w:r>
    </w:p>
    <w:p>
      <w:pPr>
        <w:pStyle w:val="5"/>
        <w:keepNext w:val="0"/>
        <w:keepLines w:val="0"/>
        <w:pageBreakBefore w:val="0"/>
        <w:widowControl w:val="0"/>
        <w:kinsoku/>
        <w:wordWrap/>
        <w:overflowPunct/>
        <w:topLinePunct w:val="0"/>
        <w:autoSpaceDE/>
        <w:autoSpaceDN/>
        <w:bidi w:val="0"/>
        <w:adjustRightInd/>
        <w:snapToGrid/>
        <w:spacing w:line="560" w:lineRule="exact"/>
        <w:ind w:firstLine="640"/>
        <w:textAlignment w:val="auto"/>
      </w:pPr>
      <w:r>
        <w:t>为深入贯彻《中共中央国务院关于全面实施预算绩效管理的意见》</w:t>
      </w:r>
      <w:r>
        <w:rPr>
          <w:rFonts w:hint="eastAsia"/>
        </w:rPr>
        <w:t>（中发〔2018〕34号）</w:t>
      </w:r>
      <w:r>
        <w:t>文件精神，落实绩效主体责任，龙华区财政局（以下简称</w:t>
      </w:r>
      <w:r>
        <w:rPr>
          <w:rFonts w:hint="eastAsia"/>
        </w:rPr>
        <w:t>“</w:t>
      </w:r>
      <w:r>
        <w:t>区财政</w:t>
      </w:r>
      <w:r>
        <w:rPr>
          <w:rFonts w:hint="eastAsia"/>
        </w:rPr>
        <w:t>”</w:t>
      </w:r>
      <w:r>
        <w:t>）组建评价小组并印发通知，于202</w:t>
      </w:r>
      <w:r>
        <w:rPr>
          <w:rFonts w:hint="eastAsia"/>
        </w:rPr>
        <w:t>1年</w:t>
      </w:r>
      <w:r>
        <w:t>5月-202</w:t>
      </w:r>
      <w:r>
        <w:rPr>
          <w:rFonts w:hint="eastAsia"/>
        </w:rPr>
        <w:t>1年</w:t>
      </w:r>
      <w:r>
        <w:t>11月对</w:t>
      </w:r>
      <w:r>
        <w:rPr>
          <w:rFonts w:hint="eastAsia" w:ascii="仿宋_GB2312" w:hAnsi="仿宋_GB2312" w:cs="仿宋_GB2312"/>
          <w:color w:val="000000"/>
          <w:spacing w:val="-20"/>
          <w:szCs w:val="32"/>
        </w:rPr>
        <w:t>深圳市龙华区6个街道办事处（以下简称“街道办”）</w:t>
      </w:r>
      <w:r>
        <w:t>2020年</w:t>
      </w:r>
      <w:r>
        <w:rPr>
          <w:rFonts w:hint="eastAsia"/>
        </w:rPr>
        <w:t>龙华区交通预联管理工作经费项目（以下简称“预联项目”）</w:t>
      </w:r>
      <w:r>
        <w:t>开展绩效评价工作。</w:t>
      </w:r>
    </w:p>
    <w:p>
      <w:pPr>
        <w:pStyle w:val="2"/>
        <w:ind w:firstLine="640"/>
      </w:pPr>
      <w:r>
        <w:rPr>
          <w:rFonts w:hint="eastAsia"/>
          <w:lang w:eastAsia="zh-CN"/>
        </w:rPr>
        <w:t>基本情况</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lang w:eastAsia="zh-CN"/>
        </w:rPr>
      </w:pPr>
      <w:r>
        <w:rPr>
          <w:rFonts w:hint="eastAsia" w:ascii="仿宋_GB2312" w:hAnsi="仿宋_GB2312" w:eastAsia="仿宋_GB2312" w:cs="仿宋_GB2312"/>
        </w:rPr>
        <w:t>2020年度6个街道交通预联管理工作年初预算安排3,446.93万元，年中调增867.68万元，调整后预算为4,314.61万元。2020年度6个街道交通预联管理工作总支出4,230.30万元，年度预算执行率为98.05%。</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rPr>
      </w:pPr>
      <w:r>
        <w:rPr>
          <w:rFonts w:hint="eastAsia" w:ascii="仿宋_GB2312" w:hAnsi="仿宋_GB2312" w:eastAsia="仿宋_GB2312" w:cs="仿宋_GB2312"/>
        </w:rPr>
        <w:t>龙华区6个街道围绕预联项目实施要求，在2020年度开展了涵盖交通安全宣传、交通安全整治及重点车辆监管、交通隐患排查等方面的工作。</w:t>
      </w:r>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仿宋_GB2312" w:hAnsi="仿宋_GB2312" w:eastAsia="仿宋_GB2312" w:cs="仿宋_GB2312"/>
          <w:lang w:eastAsia="zh-CN"/>
        </w:rPr>
      </w:pPr>
      <w:r>
        <w:rPr>
          <w:rFonts w:hint="eastAsia" w:ascii="仿宋_GB2312" w:hAnsi="仿宋_GB2312" w:eastAsia="仿宋_GB2312" w:cs="仿宋_GB2312"/>
          <w:b/>
          <w:bCs/>
        </w:rPr>
        <w:t>在交通安全宣传方面</w:t>
      </w:r>
      <w:r>
        <w:rPr>
          <w:rFonts w:hint="eastAsia" w:ascii="仿宋_GB2312" w:hAnsi="仿宋_GB2312" w:eastAsia="仿宋_GB2312" w:cs="仿宋_GB2312"/>
        </w:rPr>
        <w:t>，6个街道在2020年均开展了少年儿童交通安全宣传活动、城中村交通安全宣传活动、电单车头盔佩戴主题宣传及特定群体交通安全宣传活动；</w:t>
      </w:r>
      <w:r>
        <w:rPr>
          <w:rFonts w:hint="eastAsia" w:ascii="仿宋_GB2312" w:hAnsi="仿宋_GB2312" w:eastAsia="仿宋_GB2312" w:cs="仿宋_GB2312"/>
          <w:b/>
          <w:bCs/>
        </w:rPr>
        <w:t>在交通安全整治及重点车辆监管方面</w:t>
      </w:r>
      <w:r>
        <w:rPr>
          <w:rFonts w:hint="eastAsia" w:ascii="仿宋_GB2312" w:hAnsi="仿宋_GB2312" w:eastAsia="仿宋_GB2312" w:cs="仿宋_GB2312"/>
        </w:rPr>
        <w:t>，6个街道均开展了针对电动车、摩托车道路安全整治活动及泥头车上路专项整治活动；</w:t>
      </w:r>
      <w:r>
        <w:rPr>
          <w:rFonts w:hint="eastAsia" w:ascii="仿宋_GB2312" w:hAnsi="仿宋_GB2312" w:eastAsia="仿宋_GB2312" w:cs="仿宋_GB2312"/>
          <w:b/>
          <w:bCs/>
        </w:rPr>
        <w:t>在交通安全隐患排查方面</w:t>
      </w:r>
      <w:r>
        <w:rPr>
          <w:rFonts w:hint="eastAsia" w:ascii="仿宋_GB2312" w:hAnsi="仿宋_GB2312" w:eastAsia="仿宋_GB2312" w:cs="仿宋_GB2312"/>
        </w:rPr>
        <w:t>，各街道均开展了涵盖绿化、灯光、交通信号灯及道路设施隐患排查的交通安全综合整治“百日攻坚”活动。</w:t>
      </w:r>
    </w:p>
    <w:p>
      <w:pPr>
        <w:pStyle w:val="2"/>
        <w:numPr>
          <w:numId w:val="0"/>
        </w:numPr>
        <w:ind w:leftChars="200"/>
      </w:pPr>
      <w:r>
        <w:rPr>
          <w:rFonts w:hint="eastAsia"/>
          <w:lang w:eastAsia="zh-CN"/>
        </w:rPr>
        <w:t>二、</w:t>
      </w:r>
      <w:r>
        <w:rPr>
          <w:rFonts w:hint="eastAsia"/>
        </w:rPr>
        <w:t>绩效评价结果</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textAlignment w:val="auto"/>
      </w:pPr>
      <w:r>
        <w:t>本次绩效评价以公平性、经济性、效果性为原则，运用文献分析法、比较法、因素分析法、以及社会调研法等评价方法，并按</w:t>
      </w:r>
      <w:r>
        <w:rPr>
          <w:rFonts w:hint="eastAsia"/>
        </w:rPr>
        <w:t>“</w:t>
      </w:r>
      <w:r>
        <w:t>决策-过程-产出-</w:t>
      </w:r>
      <w:r>
        <w:rPr>
          <w:rFonts w:hint="eastAsia"/>
        </w:rPr>
        <w:t>效益”</w:t>
      </w:r>
      <w:r>
        <w:t>链条构建评价指标体系，包括4个一级指标、</w:t>
      </w:r>
      <w:r>
        <w:rPr>
          <w:rFonts w:hint="eastAsia"/>
        </w:rPr>
        <w:t>16</w:t>
      </w:r>
      <w:r>
        <w:t>个二级指标和</w:t>
      </w:r>
      <w:r>
        <w:rPr>
          <w:rFonts w:hint="eastAsia"/>
        </w:rPr>
        <w:t>33</w:t>
      </w:r>
      <w:r>
        <w:t>个三级指标，分别赋予相应权重，共计100分。评价组以现场调研、基础数据回收为基础，对</w:t>
      </w:r>
      <w:r>
        <w:rPr>
          <w:rFonts w:hint="eastAsia"/>
        </w:rPr>
        <w:t>预联</w:t>
      </w:r>
      <w:r>
        <w:t>项目绩效评价指标体系客观评分，</w:t>
      </w:r>
      <w:r>
        <w:rPr>
          <w:rFonts w:hint="eastAsia"/>
        </w:rPr>
        <w:t>项目</w:t>
      </w:r>
      <w:r>
        <w:t>绩效评分为</w:t>
      </w:r>
      <w:r>
        <w:rPr>
          <w:rFonts w:hint="eastAsia"/>
        </w:rPr>
        <w:t>70.38</w:t>
      </w:r>
      <w:r>
        <w:t>分，绩效评价等级为</w:t>
      </w:r>
      <w:r>
        <w:rPr>
          <w:rFonts w:hint="eastAsia"/>
        </w:rPr>
        <w:t>“</w:t>
      </w:r>
      <w:r>
        <w:t>中</w:t>
      </w:r>
      <w:r>
        <w:rPr>
          <w:rFonts w:hint="eastAsia"/>
        </w:rPr>
        <w:t>”</w:t>
      </w:r>
      <w:r>
        <w:t>。</w:t>
      </w:r>
    </w:p>
    <w:p>
      <w:pPr>
        <w:pStyle w:val="2"/>
        <w:numPr>
          <w:numId w:val="0"/>
        </w:numPr>
        <w:ind w:leftChars="200"/>
      </w:pPr>
      <w:r>
        <w:rPr>
          <w:rFonts w:hint="eastAsia"/>
          <w:lang w:eastAsia="zh-CN"/>
        </w:rPr>
        <w:t>三、</w:t>
      </w:r>
      <w:r>
        <w:rPr>
          <w:rFonts w:hint="eastAsia"/>
        </w:rPr>
        <w:t>取得的主要成效</w:t>
      </w:r>
    </w:p>
    <w:p>
      <w:pPr>
        <w:pStyle w:val="4"/>
        <w:ind w:firstLine="643"/>
      </w:pPr>
      <w:bookmarkStart w:id="0" w:name="_Toc89764685"/>
      <w:r>
        <w:rPr>
          <w:rFonts w:hint="eastAsia"/>
          <w:lang w:val="en-US"/>
        </w:rPr>
        <w:t>构建了</w:t>
      </w:r>
      <w:r>
        <w:rPr>
          <w:rFonts w:hint="eastAsia"/>
        </w:rPr>
        <w:t>一支交安</w:t>
      </w:r>
      <w:r>
        <w:rPr>
          <w:rFonts w:hint="eastAsia"/>
          <w:lang w:val="en-US"/>
        </w:rPr>
        <w:t>管理</w:t>
      </w:r>
      <w:r>
        <w:rPr>
          <w:rFonts w:hint="eastAsia"/>
        </w:rPr>
        <w:t>队伍，基层交安体系逐渐完善</w:t>
      </w:r>
      <w:bookmarkEnd w:id="0"/>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pPr>
      <w:r>
        <w:rPr>
          <w:rFonts w:hint="eastAsia"/>
          <w:b/>
          <w:bCs/>
        </w:rPr>
        <w:t>第一，建成一支覆盖范围广的交安队伍。</w:t>
      </w:r>
      <w:r>
        <w:rPr>
          <w:rFonts w:hint="eastAsia"/>
        </w:rPr>
        <w:t>自2018年区交安委建设以来，龙华区逐渐建成一支涵盖各职能部门、覆盖各街道的道路交通安全管理队伍。</w:t>
      </w:r>
      <w:r>
        <w:rPr>
          <w:rFonts w:hint="eastAsia"/>
          <w:b/>
          <w:bCs/>
        </w:rPr>
        <w:t>在涵盖职能部门方面</w:t>
      </w:r>
      <w:r>
        <w:rPr>
          <w:rFonts w:hint="eastAsia"/>
        </w:rPr>
        <w:t>，2019年《章程》明确了全区有29个职能单位参与其中，各职能部门依据《章程》中既定的职责分工协作，共同推进全区道路交通安全；2021年《章程》修订后，交安委成员增加至34个职能单位，道路交通管理联动部门增加，管理范围更大。</w:t>
      </w:r>
      <w:r>
        <w:rPr>
          <w:rFonts w:hint="eastAsia"/>
          <w:b/>
          <w:bCs/>
        </w:rPr>
        <w:t>在覆盖各街道方面</w:t>
      </w:r>
      <w:r>
        <w:rPr>
          <w:rFonts w:hint="eastAsia"/>
        </w:rPr>
        <w:t>，龙华区6个街道办均是交安委主要成员，各街道办均承担了道路交通安全属地管理职责，守护一方居民人身及财产安全；各街道办除了在管理层面联动辖区相关部门实施道路交通安全管理工作，还通过道路交通协管人员购买方式补充基层人力，缓解属地道路交通安全管理压力，2020年度6个街道合计购买协管人员451人。</w:t>
      </w:r>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pPr>
      <w:r>
        <w:rPr>
          <w:rFonts w:hint="eastAsia"/>
          <w:b/>
          <w:bCs/>
        </w:rPr>
        <w:t>第二，逐渐健全基层交安体系。</w:t>
      </w:r>
      <w:r>
        <w:rPr>
          <w:rFonts w:hint="eastAsia"/>
        </w:rPr>
        <w:t>基础交安体系主要分为三个层级，整体构架为“街道交安办-交安站-劝导站”，其中街道交安办承担了联动本级职能部门开展交通安全管理工作并统筹交安站和劝导站建设工作。在交安站建设方面，截至</w:t>
      </w:r>
      <w:r>
        <w:t>2020</w:t>
      </w:r>
      <w:r>
        <w:rPr>
          <w:rFonts w:hint="eastAsia"/>
        </w:rPr>
        <w:t>年年底，社区交安站合计</w:t>
      </w:r>
      <w:r>
        <w:t>建成54个，实现全区所有社区全覆盖</w:t>
      </w:r>
      <w:r>
        <w:rPr>
          <w:rFonts w:hint="eastAsia"/>
        </w:rPr>
        <w:t>；重点场所交安站虽未实现各街道重点场所全覆盖，但已建成372个，数量规模可观。在劝导站建设方面，各街道根据辖区道路交通安全特征进行建设，截至2020年年底已建成92个，为各街道道路交通提供了有力保障。</w:t>
      </w:r>
    </w:p>
    <w:p>
      <w:pPr>
        <w:pStyle w:val="4"/>
        <w:ind w:firstLine="643" w:firstLineChars="200"/>
      </w:pPr>
      <w:bookmarkStart w:id="1" w:name="_Toc89764686"/>
      <w:r>
        <w:rPr>
          <w:rFonts w:hint="eastAsia"/>
          <w:lang w:val="en-US"/>
        </w:rPr>
        <w:t>交通预联管理成效初显，市民安全出行得到一定保障</w:t>
      </w:r>
      <w:bookmarkEnd w:id="1"/>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pPr>
      <w:r>
        <w:rPr>
          <w:rFonts w:hint="eastAsia"/>
          <w:b/>
          <w:bCs/>
        </w:rPr>
        <w:t>第一，交通事故</w:t>
      </w:r>
      <w:r>
        <w:rPr>
          <w:rFonts w:hint="eastAsia"/>
          <w:b/>
          <w:bCs/>
          <w:lang w:val="en-US"/>
        </w:rPr>
        <w:t>数量</w:t>
      </w:r>
      <w:r>
        <w:rPr>
          <w:rFonts w:hint="eastAsia"/>
          <w:b/>
          <w:bCs/>
        </w:rPr>
        <w:t>持续下降。</w:t>
      </w:r>
      <w:r>
        <w:rPr>
          <w:rFonts w:hint="eastAsia"/>
        </w:rPr>
        <w:t>自</w:t>
      </w:r>
      <w:r>
        <w:t>201</w:t>
      </w:r>
      <w:r>
        <w:rPr>
          <w:rFonts w:hint="eastAsia"/>
        </w:rPr>
        <w:t>8年开始龙华区道路交通安全事故数出现明显下降，受伤人数也具有明显的下降趋势。自2</w:t>
      </w:r>
      <w:r>
        <w:t>018</w:t>
      </w:r>
      <w:r>
        <w:rPr>
          <w:rFonts w:hint="eastAsia"/>
        </w:rPr>
        <w:t>年年底龙华区成立道路交通安全委员会加强对全区道理交通安全工作的组织领导和综合协调之后，全区的道路交通安全事故得到有效控制，且2019年和2020年交通事故数持续下降，2</w:t>
      </w:r>
      <w:r>
        <w:t>017-2020</w:t>
      </w:r>
      <w:r>
        <w:rPr>
          <w:rFonts w:hint="eastAsia"/>
        </w:rPr>
        <w:t>年期间龙华区道路交通安全事故数平均下降率为2</w:t>
      </w:r>
      <w:r>
        <w:t>6.31%</w:t>
      </w:r>
      <w:r>
        <w:rPr>
          <w:rFonts w:hint="eastAsia"/>
        </w:rPr>
        <w:t>。</w:t>
      </w:r>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pPr>
      <w:r>
        <w:rPr>
          <w:rFonts w:hint="eastAsia"/>
          <w:b/>
          <w:bCs/>
        </w:rPr>
        <w:t>第二，交通安全宣传群众知晓度高。</w:t>
      </w:r>
      <w:r>
        <w:rPr>
          <w:rFonts w:hint="eastAsia"/>
        </w:rPr>
        <w:t>结合各街道反馈交通安全宣传工作开展数据及各街道权重满意度调研数据反馈，街道交通安全宣传活动开展频繁，群众知晓度高。从满意度调研问卷看，在1</w:t>
      </w:r>
      <w:r>
        <w:t>878</w:t>
      </w:r>
      <w:r>
        <w:rPr>
          <w:rFonts w:hint="eastAsia"/>
        </w:rPr>
        <w:t>位调研对象中，有8</w:t>
      </w:r>
      <w:r>
        <w:t>9.83%</w:t>
      </w:r>
      <w:r>
        <w:rPr>
          <w:rFonts w:hint="eastAsia"/>
        </w:rPr>
        <w:t>调研对象在所属街道、社区看到过交通安全宣传标语或横幅，且有4</w:t>
      </w:r>
      <w:r>
        <w:t>4.24%</w:t>
      </w:r>
      <w:r>
        <w:rPr>
          <w:rFonts w:hint="eastAsia"/>
        </w:rPr>
        <w:t>调研对象曾参与街道或社区面向公众的交通安全宣传活动。</w:t>
      </w:r>
    </w:p>
    <w:p>
      <w:pPr>
        <w:pStyle w:val="4"/>
      </w:pPr>
      <w:bookmarkStart w:id="2" w:name="_Toc89764687"/>
      <w:r>
        <w:rPr>
          <w:rFonts w:hint="eastAsia"/>
        </w:rPr>
        <w:t>公共交通进一步普及，解决市民出行难题</w:t>
      </w:r>
      <w:bookmarkEnd w:id="2"/>
    </w:p>
    <w:p>
      <w:pPr>
        <w:pStyle w:val="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highlight w:val="yellow"/>
        </w:rPr>
      </w:pPr>
      <w:r>
        <w:rPr>
          <w:rFonts w:hint="eastAsia"/>
        </w:rPr>
        <w:t>为进一步维护全区道路交通秩序，从源头解约“摩的拉客”造成交通混乱问题，区交安委、街道交安办联动交通管理部门，从群众实际需求出发，于2</w:t>
      </w:r>
      <w:r>
        <w:t>021</w:t>
      </w:r>
      <w:r>
        <w:rPr>
          <w:rFonts w:hint="eastAsia"/>
        </w:rPr>
        <w:t>年4月增设了B905、B906、B907、B908线等4条特色公交线路，进一步向社区、园区、旅游景点等地延伸，微巴的路线增设一定程度上地改善了区域交通秩序，实现公交地铁双轨融合。</w:t>
      </w:r>
    </w:p>
    <w:p>
      <w:pPr>
        <w:pStyle w:val="4"/>
        <w:ind w:left="992" w:hanging="567"/>
      </w:pPr>
      <w:bookmarkStart w:id="3" w:name="_Toc89764688"/>
      <w:r>
        <w:rPr>
          <w:rFonts w:hint="eastAsia"/>
        </w:rPr>
        <w:t>创新设置“智慧道灯”，为路口交通安全再添保障</w:t>
      </w:r>
      <w:bookmarkEnd w:id="3"/>
    </w:p>
    <w:p>
      <w:pPr>
        <w:pStyle w:val="5"/>
        <w:keepNext w:val="0"/>
        <w:keepLines w:val="0"/>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个别街道通过创新设置路口警示灯，在路口斑马线两侧增设“智慧道</w:t>
      </w:r>
      <w:r>
        <w:rPr>
          <w:rFonts w:hint="eastAsia"/>
          <w:lang w:val="en-US"/>
        </w:rPr>
        <w:t>灯</w:t>
      </w:r>
      <w:r>
        <w:rPr>
          <w:rFonts w:hint="eastAsia"/>
        </w:rPr>
        <w:t>”。“智慧道</w:t>
      </w:r>
      <w:r>
        <w:rPr>
          <w:rFonts w:hint="eastAsia"/>
          <w:lang w:val="en-US"/>
        </w:rPr>
        <w:t>灯</w:t>
      </w:r>
      <w:r>
        <w:rPr>
          <w:rFonts w:hint="eastAsia"/>
        </w:rPr>
        <w:t>”清晰地勾画出道路轮廓和边缘，对于机动车群体，道灯独特的侧方发光结构提醒司机警示注意。“</w:t>
      </w:r>
      <w:r>
        <w:t>智慧道灯</w:t>
      </w:r>
      <w:r>
        <w:rPr>
          <w:rFonts w:hint="eastAsia"/>
        </w:rPr>
        <w:t>”采用信号灯同步发光技术，将空中的信号灯联动到地面道灯，醒目地提醒机动车驾驶者，从而解决城市霓虹灯淹没路口，造成驾驶员误判，导致闯红灯的危险行为发生。</w:t>
      </w:r>
    </w:p>
    <w:p>
      <w:pPr>
        <w:pStyle w:val="2"/>
        <w:numPr>
          <w:numId w:val="0"/>
        </w:numPr>
        <w:ind w:leftChars="200"/>
      </w:pPr>
      <w:r>
        <w:rPr>
          <w:rFonts w:hint="eastAsia"/>
          <w:lang w:eastAsia="zh-CN"/>
        </w:rPr>
        <w:t>四、</w:t>
      </w:r>
      <w:r>
        <w:rPr>
          <w:rFonts w:hint="eastAsia"/>
        </w:rPr>
        <w:t>存在主要问题</w:t>
      </w:r>
    </w:p>
    <w:p>
      <w:pPr>
        <w:pStyle w:val="4"/>
        <w:numPr>
          <w:numId w:val="0"/>
        </w:numPr>
        <w:ind w:left="567" w:leftChars="0"/>
        <w:rPr>
          <w:lang w:val="en-US"/>
        </w:rPr>
      </w:pPr>
      <w:bookmarkStart w:id="4" w:name="_Toc89764690"/>
      <w:r>
        <w:rPr>
          <w:rFonts w:hint="eastAsia"/>
          <w:lang w:val="en-US" w:eastAsia="zh-CN"/>
        </w:rPr>
        <w:t>（一）</w:t>
      </w:r>
      <w:r>
        <w:rPr>
          <w:rFonts w:hint="eastAsia"/>
          <w:lang w:val="en-US"/>
        </w:rPr>
        <w:t>交通安全隐患治理不到位，路口违法情况频发</w:t>
      </w:r>
      <w:bookmarkEnd w:id="4"/>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pPr>
      <w:r>
        <w:rPr>
          <w:rFonts w:hint="eastAsia"/>
          <w:b/>
          <w:bCs/>
          <w:lang w:val="en-US"/>
        </w:rPr>
        <w:t>第一，隐患排查地点选择具有一定的随机性，排查覆盖面不全。</w:t>
      </w:r>
      <w:r>
        <w:rPr>
          <w:rFonts w:hint="eastAsia"/>
        </w:rPr>
        <w:t>《章程》中</w:t>
      </w:r>
      <w:r>
        <w:rPr>
          <w:rFonts w:hint="eastAsia"/>
          <w:lang w:val="en-US"/>
        </w:rPr>
        <w:t>要求对道路交通安全隐患按</w:t>
      </w:r>
      <w:r>
        <w:rPr>
          <w:rFonts w:hint="eastAsia"/>
        </w:rPr>
        <w:t>“分级、分类、属地”原则</w:t>
      </w:r>
      <w:r>
        <w:rPr>
          <w:rFonts w:hint="eastAsia"/>
          <w:lang w:val="en-US"/>
        </w:rPr>
        <w:t>进行系统排查。但是，根据调研了解，在2020年各街道属地化开展道路</w:t>
      </w:r>
      <w:r>
        <w:rPr>
          <w:rFonts w:hint="eastAsia"/>
        </w:rPr>
        <w:t>交通安全隐患排查</w:t>
      </w:r>
      <w:r>
        <w:rPr>
          <w:rFonts w:hint="eastAsia"/>
          <w:lang w:val="en-US"/>
        </w:rPr>
        <w:t>后，各街道主要是对</w:t>
      </w:r>
      <w:r>
        <w:rPr>
          <w:rFonts w:hint="eastAsia"/>
        </w:rPr>
        <w:t>事故发生</w:t>
      </w:r>
      <w:r>
        <w:rPr>
          <w:rFonts w:hint="eastAsia"/>
          <w:lang w:val="en-US"/>
        </w:rPr>
        <w:t>地</w:t>
      </w:r>
      <w:r>
        <w:rPr>
          <w:rFonts w:hint="eastAsia"/>
        </w:rPr>
        <w:t>进行重点</w:t>
      </w:r>
      <w:r>
        <w:rPr>
          <w:rFonts w:hint="eastAsia"/>
          <w:lang w:val="en-US"/>
        </w:rPr>
        <w:t>隐患</w:t>
      </w:r>
      <w:r>
        <w:rPr>
          <w:rFonts w:hint="eastAsia"/>
        </w:rPr>
        <w:t>排查，</w:t>
      </w:r>
      <w:r>
        <w:rPr>
          <w:rFonts w:hint="eastAsia"/>
          <w:lang w:val="en-US"/>
        </w:rPr>
        <w:t>或者通过日常</w:t>
      </w:r>
      <w:r>
        <w:rPr>
          <w:rFonts w:hint="eastAsia"/>
        </w:rPr>
        <w:t>道路交通安全巡查</w:t>
      </w:r>
      <w:r>
        <w:rPr>
          <w:rFonts w:hint="eastAsia"/>
          <w:lang w:val="en-US"/>
        </w:rPr>
        <w:t>发现道路交通安全隐患，未建立起全面的交通安全隐患排查机制，导致交通安全隐患发现不及时、整治不彻底</w:t>
      </w:r>
      <w:r>
        <w:rPr>
          <w:rFonts w:hint="eastAsia"/>
        </w:rPr>
        <w:t>。</w:t>
      </w:r>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rPr>
          <w:lang w:val="en-US"/>
        </w:rPr>
      </w:pPr>
      <w:r>
        <w:rPr>
          <w:rFonts w:hint="eastAsia"/>
          <w:b/>
          <w:bCs/>
          <w:lang w:val="en-US"/>
        </w:rPr>
        <w:t>第二，对路口交通违法行为整治不到位，路口守法率低。</w:t>
      </w:r>
      <w:r>
        <w:rPr>
          <w:rFonts w:hint="eastAsia"/>
          <w:lang w:val="en-US"/>
        </w:rPr>
        <w:t>根据“</w:t>
      </w:r>
      <w:r>
        <w:rPr>
          <w:lang w:val="en-US"/>
        </w:rPr>
        <w:t>文明指数</w:t>
      </w:r>
      <w:r>
        <w:rPr>
          <w:rFonts w:hint="eastAsia"/>
          <w:lang w:val="en-US"/>
        </w:rPr>
        <w:t>”</w:t>
      </w:r>
      <w:r>
        <w:rPr>
          <w:lang w:val="en-US"/>
        </w:rPr>
        <w:t>路口综合守法率公示情况，龙华区路口综合守法率只有67.82%，交通路口违法情况频发。</w:t>
      </w:r>
      <w:r>
        <w:rPr>
          <w:rFonts w:hint="eastAsia"/>
          <w:lang w:val="en-US"/>
        </w:rPr>
        <w:t>从行人守法率来看，</w:t>
      </w:r>
      <w:r>
        <w:rPr>
          <w:rFonts w:hint="eastAsia"/>
        </w:rPr>
        <w:t>全区行人闯红灯率为3</w:t>
      </w:r>
      <w:r>
        <w:t>.95%</w:t>
      </w:r>
      <w:r>
        <w:rPr>
          <w:rFonts w:hint="eastAsia"/>
          <w:lang w:val="en-US"/>
        </w:rPr>
        <w:t>；从</w:t>
      </w:r>
      <w:r>
        <w:rPr>
          <w:rFonts w:hint="eastAsia"/>
        </w:rPr>
        <w:t>机动车右转守法率</w:t>
      </w:r>
      <w:r>
        <w:rPr>
          <w:rFonts w:hint="eastAsia"/>
          <w:lang w:val="en-US"/>
        </w:rPr>
        <w:t>来看，个别街道</w:t>
      </w:r>
      <w:r>
        <w:rPr>
          <w:rFonts w:hint="eastAsia"/>
        </w:rPr>
        <w:t>机动车右转守法率未达</w:t>
      </w:r>
      <w:r>
        <w:t>90%</w:t>
      </w:r>
      <w:r>
        <w:rPr>
          <w:rFonts w:hint="eastAsia"/>
        </w:rPr>
        <w:t>。</w:t>
      </w:r>
      <w:r>
        <w:rPr>
          <w:rFonts w:hint="eastAsia"/>
          <w:lang w:val="en-US"/>
        </w:rPr>
        <w:t>从</w:t>
      </w:r>
      <w:r>
        <w:rPr>
          <w:rFonts w:hint="eastAsia"/>
        </w:rPr>
        <w:t>非机动车守法率</w:t>
      </w:r>
      <w:r>
        <w:rPr>
          <w:rFonts w:hint="eastAsia"/>
          <w:lang w:val="en-US"/>
        </w:rPr>
        <w:t>来看，2021年6月</w:t>
      </w:r>
      <w:r>
        <w:rPr>
          <w:rFonts w:hint="eastAsia"/>
        </w:rPr>
        <w:t>龙华区6个街道非机动车综合守法率只有2</w:t>
      </w:r>
      <w:r>
        <w:t>6.35%</w:t>
      </w:r>
      <w:r>
        <w:rPr>
          <w:rFonts w:hint="eastAsia"/>
        </w:rPr>
        <w:t>，占道行驶和不戴头盔</w:t>
      </w:r>
      <w:r>
        <w:rPr>
          <w:rFonts w:hint="eastAsia"/>
          <w:lang w:val="en-US"/>
        </w:rPr>
        <w:t>现象普遍</w:t>
      </w:r>
      <w:r>
        <w:rPr>
          <w:rFonts w:hint="eastAsia"/>
        </w:rPr>
        <w:t>。</w:t>
      </w:r>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rPr>
          <w:lang w:val="en-US"/>
        </w:rPr>
      </w:pPr>
      <w:r>
        <w:rPr>
          <w:rFonts w:hint="eastAsia"/>
          <w:b/>
          <w:bCs/>
          <w:lang w:val="en-US"/>
        </w:rPr>
        <w:t>第三，电单车拉客问题未得到有效解决，增添了交通安全隐患。</w:t>
      </w:r>
      <w:r>
        <w:rPr>
          <w:rFonts w:hint="eastAsia"/>
          <w:lang w:val="en-US"/>
        </w:rPr>
        <w:t>虽然各个街道开展了电单车头盔佩戴主题宣传、电动自行车摩托车道路交通安全整治等专门针对电单车的宣传、执法活动，但在2021年6月-11月的评价周期内，评价组发现龙华区多个地铁口、商场外围存在电单车拉客现象。</w:t>
      </w:r>
    </w:p>
    <w:p>
      <w:pPr>
        <w:pStyle w:val="4"/>
        <w:numPr>
          <w:numId w:val="0"/>
        </w:numPr>
        <w:ind w:left="567" w:leftChars="0"/>
        <w:rPr>
          <w:lang w:val="en-US"/>
        </w:rPr>
      </w:pPr>
      <w:bookmarkStart w:id="5" w:name="_Toc89764691"/>
      <w:r>
        <w:rPr>
          <w:rFonts w:hint="eastAsia"/>
          <w:lang w:val="en-US" w:eastAsia="zh-CN"/>
        </w:rPr>
        <w:t>（二）</w:t>
      </w:r>
      <w:r>
        <w:rPr>
          <w:rFonts w:hint="eastAsia"/>
          <w:lang w:val="en-US"/>
        </w:rPr>
        <w:t>“运动式”整治缺少长期效用，不能持续保证道路交通安全、畅通</w:t>
      </w:r>
      <w:bookmarkEnd w:id="5"/>
    </w:p>
    <w:p>
      <w:pPr>
        <w:pStyle w:val="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区交安办通过全区“专项整治”的方式统筹交通管理，“专项整治”短期内调集大量人力、物力，加大对特定领域的交通安全整治，能够起到快速恢复秩序作用。但是，此类“运动式”整治缺少长期效果，整治行动结束后，被压制的交通违法行为抬头，破坏交通管理秩序，甚至造成交通安全事故。</w:t>
      </w:r>
      <w:r>
        <w:rPr>
          <w:rFonts w:hint="eastAsia"/>
          <w:b/>
          <w:bCs/>
          <w:lang w:val="en-US"/>
        </w:rPr>
        <w:t>从</w:t>
      </w:r>
      <w:r>
        <w:rPr>
          <w:rFonts w:hint="eastAsia"/>
          <w:b/>
          <w:bCs/>
        </w:rPr>
        <w:t>交通运行拥堵指数</w:t>
      </w:r>
      <w:r>
        <w:rPr>
          <w:rFonts w:hint="eastAsia"/>
          <w:b/>
          <w:bCs/>
          <w:lang w:val="en-US"/>
        </w:rPr>
        <w:t>看</w:t>
      </w:r>
      <w:r>
        <w:rPr>
          <w:rFonts w:hint="eastAsia"/>
          <w:lang w:val="en-US"/>
        </w:rPr>
        <w:t>，交通畅通情况未能实现持续向好，</w:t>
      </w:r>
      <w:r>
        <w:t>2020</w:t>
      </w:r>
      <w:r>
        <w:rPr>
          <w:rFonts w:hint="eastAsia"/>
        </w:rPr>
        <w:t>年龙华区道路拥堵情况</w:t>
      </w:r>
      <w:r>
        <w:rPr>
          <w:rFonts w:hint="eastAsia"/>
          <w:lang w:val="en-US"/>
        </w:rPr>
        <w:t>较为严重</w:t>
      </w:r>
      <w:r>
        <w:rPr>
          <w:rFonts w:hint="eastAsia"/>
        </w:rPr>
        <w:t>，</w:t>
      </w:r>
      <w:r>
        <w:rPr>
          <w:rFonts w:hint="eastAsia"/>
          <w:lang w:val="en-US"/>
        </w:rPr>
        <w:t>由此可见，2018年底构建的全区性交通安全治理机制对于道路交通畅通与否的直接影响较低。</w:t>
      </w:r>
    </w:p>
    <w:p>
      <w:pPr>
        <w:pStyle w:val="4"/>
        <w:numPr>
          <w:numId w:val="0"/>
        </w:numPr>
        <w:ind w:left="567" w:leftChars="0"/>
        <w:rPr>
          <w:lang w:val="en-US"/>
        </w:rPr>
      </w:pPr>
      <w:bookmarkStart w:id="6" w:name="_Toc89764692"/>
      <w:r>
        <w:rPr>
          <w:rFonts w:hint="eastAsia"/>
          <w:lang w:val="en-US" w:eastAsia="zh-CN"/>
        </w:rPr>
        <w:t>（三）</w:t>
      </w:r>
      <w:r>
        <w:rPr>
          <w:rFonts w:hint="eastAsia"/>
          <w:lang w:val="en-US"/>
        </w:rPr>
        <w:t>权责划分不清晰，尚未形成全区协调一致的道路交通治理方案</w:t>
      </w:r>
      <w:bookmarkEnd w:id="6"/>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rPr>
          <w:lang w:val="en-US"/>
        </w:rPr>
      </w:pPr>
      <w:r>
        <w:rPr>
          <w:rFonts w:hint="eastAsia"/>
          <w:b/>
          <w:bCs/>
          <w:lang w:val="en-US"/>
        </w:rPr>
        <w:t>第一，道路交通隐患治理工作权责不清晰，存在“分级管理”与“属地管理”的矛盾</w:t>
      </w:r>
      <w:r>
        <w:rPr>
          <w:rFonts w:hint="eastAsia"/>
          <w:lang w:val="en-US"/>
        </w:rPr>
        <w:t>。</w:t>
      </w:r>
      <w:r>
        <w:rPr>
          <w:rFonts w:hint="eastAsia"/>
        </w:rPr>
        <w:t>根据《章程》，</w:t>
      </w:r>
      <w:r>
        <w:rPr>
          <w:rFonts w:hint="eastAsia"/>
          <w:lang w:val="en-US"/>
        </w:rPr>
        <w:t>各街道“</w:t>
      </w:r>
      <w:r>
        <w:t>按照分级、分类、属地原则，组织、协调辖区道路交通安全隐患排查、治理</w:t>
      </w:r>
      <w:r>
        <w:rPr>
          <w:rFonts w:hint="eastAsia"/>
        </w:rPr>
        <w:t>工作</w:t>
      </w:r>
      <w:r>
        <w:rPr>
          <w:rFonts w:hint="eastAsia"/>
          <w:lang w:val="en-US"/>
        </w:rPr>
        <w:t>”。一是道路交通隐患治理缺乏明确的分工制度安排。二是在实际隐患治理中存在工作分配不合理的情况。三是</w:t>
      </w:r>
      <w:r>
        <w:rPr>
          <w:rFonts w:hint="eastAsia"/>
        </w:rPr>
        <w:t>个别</w:t>
      </w:r>
      <w:r>
        <w:rPr>
          <w:rFonts w:hint="eastAsia"/>
          <w:lang w:val="en-US"/>
        </w:rPr>
        <w:t>街道内部同样存在</w:t>
      </w:r>
      <w:r>
        <w:rPr>
          <w:rFonts w:hint="eastAsia"/>
        </w:rPr>
        <w:t>隐患整治权责不明确</w:t>
      </w:r>
      <w:r>
        <w:rPr>
          <w:rFonts w:hint="eastAsia"/>
          <w:lang w:val="en-US"/>
        </w:rPr>
        <w:t>的情况。</w:t>
      </w:r>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lang w:val="en-US"/>
        </w:rPr>
      </w:pPr>
      <w:r>
        <w:rPr>
          <w:rFonts w:hint="eastAsia"/>
          <w:b/>
          <w:bCs/>
          <w:lang w:val="en-US"/>
        </w:rPr>
        <w:t>第二，交通违法行为治理的权责不匹配，未能通过“联动”实现执法常态化。</w:t>
      </w:r>
      <w:r>
        <w:rPr>
          <w:rFonts w:hint="eastAsia"/>
        </w:rPr>
        <w:t>根据《章程》，街道</w:t>
      </w:r>
      <w:r>
        <w:rPr>
          <w:rFonts w:hint="eastAsia"/>
          <w:lang w:val="en-US"/>
        </w:rPr>
        <w:t>办</w:t>
      </w:r>
      <w:r>
        <w:rPr>
          <w:rFonts w:hint="eastAsia"/>
        </w:rPr>
        <w:t>负责“治理各类交通违法行为，统筹推进各项道路交通执</w:t>
      </w:r>
      <w:r>
        <w:rPr>
          <w:rFonts w:hint="eastAsia"/>
          <w:lang w:val="en-US"/>
        </w:rPr>
        <w:t>法</w:t>
      </w:r>
      <w:r>
        <w:rPr>
          <w:rFonts w:hint="eastAsia"/>
        </w:rPr>
        <w:t>行为”。</w:t>
      </w:r>
      <w:r>
        <w:rPr>
          <w:rFonts w:hint="eastAsia"/>
          <w:lang w:val="en-US"/>
        </w:rPr>
        <w:t>从管理权限看，交通违法行为的查处属于公安交警部门职责，属于垂直管理事项。从实际执行情况看，街道办主要通过专项整治和日常“劝导”进行交通违法行为“治理”，缺乏事权部门与执法部门之间的有效“联动”机制。</w:t>
      </w:r>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pPr>
      <w:r>
        <w:rPr>
          <w:rFonts w:hint="eastAsia"/>
          <w:b/>
          <w:bCs/>
          <w:lang w:val="en-US"/>
        </w:rPr>
        <w:t>第三，缺少全区道路交通安全治理整体方案，区对街道的考核监管不到位。一方面，</w:t>
      </w:r>
      <w:r>
        <w:rPr>
          <w:rFonts w:hint="eastAsia"/>
          <w:lang w:val="en-US"/>
        </w:rPr>
        <w:t>缺少全区性交通治理方案或目标，导致交通预联管理机制偏于松散。区交安办未</w:t>
      </w:r>
      <w:r>
        <w:rPr>
          <w:rFonts w:hint="eastAsia"/>
        </w:rPr>
        <w:t>根据《章程》“搭建辖区内道路交通安全责任体系，协调辖区内相关单位综合开展道路交通预联管理工作，具体落实辖区内交通整治、隐患排查、交通宣传、重点车辆监管等内容”</w:t>
      </w:r>
      <w:r>
        <w:rPr>
          <w:rFonts w:hint="eastAsia"/>
          <w:lang w:val="en-US"/>
        </w:rPr>
        <w:t>构建全区性的交通预联管理方案或标准，导致区交安委无法有效发挥统筹协调作用，各街道无法明确道路交通治理的目标，各行其是。</w:t>
      </w:r>
      <w:r>
        <w:rPr>
          <w:rFonts w:hint="eastAsia"/>
          <w:b/>
          <w:bCs/>
          <w:lang w:val="en-US"/>
        </w:rPr>
        <w:t>另一方面，区对街道的考核监管机制不健全，交通治理成效缺乏有效监督。</w:t>
      </w:r>
      <w:r>
        <w:rPr>
          <w:rFonts w:hint="eastAsia"/>
        </w:rPr>
        <w:t>截至本项目调研（2021年9月）</w:t>
      </w:r>
      <w:r>
        <w:rPr>
          <w:rFonts w:hint="eastAsia"/>
          <w:lang w:val="en-US"/>
        </w:rPr>
        <w:t>期间，</w:t>
      </w:r>
      <w:r>
        <w:rPr>
          <w:rFonts w:hint="eastAsia"/>
        </w:rPr>
        <w:t>各街道未有因道路交通安全工作落实不到位而被约谈情况，且2</w:t>
      </w:r>
      <w:r>
        <w:t>020</w:t>
      </w:r>
      <w:r>
        <w:rPr>
          <w:rFonts w:hint="eastAsia"/>
        </w:rPr>
        <w:t>年度区交安办并未就</w:t>
      </w:r>
      <w:r>
        <w:rPr>
          <w:rFonts w:hint="eastAsia"/>
          <w:lang w:val="en-US"/>
        </w:rPr>
        <w:t>各街道的</w:t>
      </w:r>
      <w:r>
        <w:rPr>
          <w:rFonts w:hint="eastAsia"/>
        </w:rPr>
        <w:t>交通预算管理工作实施开展月度、季度以及年度考核工作（年度考核工作仅在区交委对全区实施的应急管理及消防工作考核中涉及），</w:t>
      </w:r>
      <w:r>
        <w:rPr>
          <w:rFonts w:hint="eastAsia"/>
          <w:lang w:val="en-US"/>
        </w:rPr>
        <w:t>对街道的交通治理成效缺乏有效监督</w:t>
      </w:r>
      <w:r>
        <w:rPr>
          <w:rFonts w:hint="eastAsia"/>
        </w:rPr>
        <w:t>。</w:t>
      </w:r>
    </w:p>
    <w:p>
      <w:pPr>
        <w:pStyle w:val="4"/>
        <w:numPr>
          <w:numId w:val="0"/>
        </w:numPr>
        <w:ind w:left="567" w:leftChars="0"/>
        <w:rPr>
          <w:lang w:val="en-US"/>
        </w:rPr>
      </w:pPr>
      <w:bookmarkStart w:id="7" w:name="_Toc89764693"/>
      <w:r>
        <w:rPr>
          <w:rFonts w:hint="eastAsia"/>
          <w:lang w:val="en-US" w:eastAsia="zh-CN"/>
        </w:rPr>
        <w:t>（四）</w:t>
      </w:r>
      <w:r>
        <w:rPr>
          <w:rFonts w:hint="eastAsia"/>
          <w:lang w:val="en-US"/>
        </w:rPr>
        <w:t>基层交安管理体系运转效率不高，人力的多寡与治理成效无显著关联</w:t>
      </w:r>
      <w:bookmarkEnd w:id="7"/>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0"/>
        <w:textAlignment w:val="auto"/>
        <w:rPr>
          <w:lang w:val="en-US"/>
        </w:rPr>
      </w:pPr>
      <w:r>
        <w:rPr>
          <w:rFonts w:hint="eastAsia"/>
          <w:b/>
          <w:bCs/>
          <w:lang w:val="en-US"/>
        </w:rPr>
        <w:t>第一，2020年尚未建立起规范的协管人员配置标准。一是各街道协管人员配置数量标准不统一</w:t>
      </w:r>
      <w:r>
        <w:rPr>
          <w:rFonts w:hint="eastAsia"/>
          <w:lang w:val="en-US"/>
        </w:rPr>
        <w:t>，</w:t>
      </w:r>
      <w:r>
        <w:rPr>
          <w:rFonts w:hint="eastAsia"/>
        </w:rPr>
        <w:t>结合各街道办反馈的协管人员购买（不含临时购买人员）及工作安排数据，2020年度6个街道合计购买协管人员451人，平均每街道75.17人。</w:t>
      </w:r>
      <w:r>
        <w:rPr>
          <w:rFonts w:hint="eastAsia"/>
          <w:lang w:val="en-US"/>
        </w:rPr>
        <w:t>二是各街道协管人员配置成本不统一，其中，</w:t>
      </w:r>
      <w:r>
        <w:rPr>
          <w:rFonts w:hint="eastAsia"/>
        </w:rPr>
        <w:t>观澜街道协管人员人均成本最高，大浪街道人均成本最低，</w:t>
      </w:r>
      <w:r>
        <w:t>6</w:t>
      </w:r>
      <w:r>
        <w:rPr>
          <w:rFonts w:hint="eastAsia"/>
        </w:rPr>
        <w:t>个街道协管人员人均成本极差为1</w:t>
      </w:r>
      <w:r>
        <w:t>,129.85</w:t>
      </w:r>
      <w:r>
        <w:rPr>
          <w:rFonts w:hint="eastAsia"/>
        </w:rPr>
        <w:t>元</w:t>
      </w:r>
      <w:r>
        <w:rPr>
          <w:rFonts w:hint="eastAsia"/>
          <w:lang w:val="en-US"/>
        </w:rPr>
        <w:t>/人</w:t>
      </w:r>
      <w:r>
        <w:rPr>
          <w:rFonts w:hint="eastAsia"/>
        </w:rPr>
        <w:t>/月。</w:t>
      </w:r>
      <w:r>
        <w:rPr>
          <w:rFonts w:hint="eastAsia"/>
          <w:lang w:val="en-US"/>
        </w:rPr>
        <w:t>三是各街道协管人员使用方式不统一，</w:t>
      </w:r>
      <w:r>
        <w:rPr>
          <w:rFonts w:hint="eastAsia"/>
        </w:rPr>
        <w:t>除了大浪街道所购买的协管人员均由街道交安办统筹管理安排工作之外，其余5个街道购买的协管人员均有分配至街道交警中队，但分配数量差异大。</w:t>
      </w:r>
      <w:r>
        <w:rPr>
          <w:lang w:val="en-US"/>
        </w:rPr>
        <w:t xml:space="preserve"> </w:t>
      </w:r>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rPr>
          <w:lang w:val="en-US"/>
        </w:rPr>
      </w:pPr>
      <w:r>
        <w:rPr>
          <w:rFonts w:hint="eastAsia"/>
          <w:b/>
          <w:bCs/>
          <w:lang w:val="en-US"/>
        </w:rPr>
        <w:t>第二，协管人员未充分在岗发挥交通管理作用。一方面，协管人员在岗情况不佳。</w:t>
      </w:r>
      <w:r>
        <w:rPr>
          <w:rFonts w:hint="eastAsia"/>
          <w:lang w:val="en-US"/>
        </w:rPr>
        <w:t>评价小组在重点时段、重点路口对交通协管人员的劝导情况进行了跟踪调研，调研的</w:t>
      </w:r>
      <w:r>
        <w:rPr>
          <w:rFonts w:hint="eastAsia"/>
        </w:rPr>
        <w:t>1</w:t>
      </w:r>
      <w:r>
        <w:t>6</w:t>
      </w:r>
      <w:r>
        <w:rPr>
          <w:rFonts w:hint="eastAsia"/>
        </w:rPr>
        <w:t>个重点路口</w:t>
      </w:r>
      <w:r>
        <w:rPr>
          <w:rFonts w:hint="eastAsia"/>
          <w:lang w:val="en-US"/>
        </w:rPr>
        <w:t>中</w:t>
      </w:r>
      <w:r>
        <w:rPr>
          <w:rFonts w:hint="eastAsia"/>
        </w:rPr>
        <w:t>只有5个路口有协管人员在</w:t>
      </w:r>
      <w:r>
        <w:rPr>
          <w:rFonts w:hint="eastAsia"/>
          <w:lang w:val="en-US"/>
        </w:rPr>
        <w:t>开展</w:t>
      </w:r>
      <w:r>
        <w:rPr>
          <w:rFonts w:hint="eastAsia"/>
        </w:rPr>
        <w:t>协管、劝导工作，在5个有劝导站的路口</w:t>
      </w:r>
      <w:r>
        <w:rPr>
          <w:rFonts w:hint="eastAsia"/>
          <w:lang w:val="en-US"/>
        </w:rPr>
        <w:t>中</w:t>
      </w:r>
      <w:r>
        <w:rPr>
          <w:rFonts w:hint="eastAsia"/>
        </w:rPr>
        <w:t>，只有</w:t>
      </w:r>
      <w:r>
        <w:t>2</w:t>
      </w:r>
      <w:r>
        <w:rPr>
          <w:rFonts w:hint="eastAsia"/>
        </w:rPr>
        <w:t>个劝导站有协管人员在值守。</w:t>
      </w:r>
      <w:r>
        <w:rPr>
          <w:rFonts w:hint="eastAsia"/>
          <w:lang w:val="en-US"/>
        </w:rPr>
        <w:t>同时，</w:t>
      </w:r>
      <w:r>
        <w:rPr>
          <w:rFonts w:hint="eastAsia"/>
        </w:rPr>
        <w:t>评价小组</w:t>
      </w:r>
      <w:r>
        <w:rPr>
          <w:rFonts w:hint="eastAsia"/>
          <w:lang w:val="en-US"/>
        </w:rPr>
        <w:t>跟踪调研发现</w:t>
      </w:r>
      <w:r>
        <w:rPr>
          <w:rFonts w:hint="eastAsia"/>
        </w:rPr>
        <w:t>，协管人员对路口违反交通规则的行人、非机动车辆劝导比较有限，协管人员未实际到岗并充分发挥作用。</w:t>
      </w:r>
      <w:r>
        <w:rPr>
          <w:rFonts w:hint="eastAsia"/>
          <w:b/>
          <w:bCs/>
          <w:lang w:val="en-US"/>
        </w:rPr>
        <w:t>另一方面，考核监管、激励作用不足。</w:t>
      </w:r>
      <w:r>
        <w:rPr>
          <w:rFonts w:hint="eastAsia"/>
        </w:rPr>
        <w:t>各街道均对协管人员</w:t>
      </w:r>
      <w:r>
        <w:rPr>
          <w:rFonts w:hint="eastAsia"/>
          <w:lang w:val="en-US"/>
        </w:rPr>
        <w:t>进行绩效考核</w:t>
      </w:r>
      <w:r>
        <w:rPr>
          <w:rFonts w:hint="eastAsia"/>
        </w:rPr>
        <w:t>，并将协管人员</w:t>
      </w:r>
      <w:r>
        <w:rPr>
          <w:rFonts w:hint="eastAsia"/>
          <w:lang w:val="en-US"/>
        </w:rPr>
        <w:t>是</w:t>
      </w:r>
      <w:r>
        <w:rPr>
          <w:rFonts w:hint="eastAsia"/>
        </w:rPr>
        <w:t>绩效考核情况</w:t>
      </w:r>
      <w:r>
        <w:rPr>
          <w:rFonts w:hint="eastAsia"/>
          <w:lang w:val="en-US"/>
        </w:rPr>
        <w:t>与工资薪酬</w:t>
      </w:r>
      <w:r>
        <w:rPr>
          <w:rFonts w:hint="eastAsia"/>
        </w:rPr>
        <w:t>挂钩。</w:t>
      </w:r>
      <w:r>
        <w:rPr>
          <w:rFonts w:hint="eastAsia"/>
          <w:lang w:val="en-US"/>
        </w:rPr>
        <w:t>从协管人员绩效工资发放情况看，虽有按绩效等级发放对应绩效工资，但对协管人员的出勤、履职缺少足够的约束，难以通过绩效工资激励协管人员提高履职成效。评价过程中，个</w:t>
      </w:r>
      <w:r>
        <w:rPr>
          <w:rFonts w:hint="eastAsia"/>
        </w:rPr>
        <w:t>别街道缺少对协管人员考核</w:t>
      </w:r>
      <w:r>
        <w:rPr>
          <w:rFonts w:hint="eastAsia"/>
          <w:lang w:val="en-US"/>
        </w:rPr>
        <w:t>监管的</w:t>
      </w:r>
      <w:r>
        <w:rPr>
          <w:rFonts w:hint="eastAsia"/>
        </w:rPr>
        <w:t>留痕资料，</w:t>
      </w:r>
      <w:r>
        <w:rPr>
          <w:rFonts w:hint="eastAsia"/>
          <w:lang w:val="en-US"/>
        </w:rPr>
        <w:t>管理档案管理有欠缺</w:t>
      </w:r>
      <w:r>
        <w:rPr>
          <w:rFonts w:hint="eastAsia"/>
        </w:rPr>
        <w:t>。</w:t>
      </w:r>
    </w:p>
    <w:p>
      <w:pPr>
        <w:pStyle w:val="5"/>
        <w:keepNext w:val="0"/>
        <w:keepLines w:val="0"/>
        <w:pageBreakBefore w:val="0"/>
        <w:widowControl w:val="0"/>
        <w:kinsoku/>
        <w:wordWrap/>
        <w:overflowPunct/>
        <w:topLinePunct w:val="0"/>
        <w:autoSpaceDE/>
        <w:autoSpaceDN/>
        <w:bidi w:val="0"/>
        <w:adjustRightInd/>
        <w:snapToGrid/>
        <w:spacing w:line="560" w:lineRule="exact"/>
        <w:ind w:firstLine="643"/>
        <w:textAlignment w:val="auto"/>
        <w:rPr>
          <w:lang w:val="en-US"/>
        </w:rPr>
      </w:pPr>
      <w:r>
        <w:rPr>
          <w:rFonts w:hint="eastAsia"/>
          <w:b/>
          <w:bCs/>
          <w:lang w:val="en-US"/>
        </w:rPr>
        <w:t>第三，协管人员配置数量、经费标准与街道道路交通管理成效无显著关联关系。</w:t>
      </w:r>
      <w:r>
        <w:rPr>
          <w:rFonts w:hint="eastAsia"/>
          <w:lang w:val="en-US"/>
        </w:rPr>
        <w:t>评价组对各街道2020年度协管人员配置数量、经费标准与各街道的道路交通事故死亡人数、路口综合守法率等情况进行了汇总分析，协管人员的配置数量、配置经费标准与协管效果无直接关联，仅仅依靠传统的人力投入进行道路交通治理无法从根本上起到</w:t>
      </w:r>
      <w:r>
        <w:rPr>
          <w:rFonts w:hint="eastAsia"/>
        </w:rPr>
        <w:t>“防事故、保安全、保畅通”</w:t>
      </w:r>
      <w:r>
        <w:rPr>
          <w:rFonts w:hint="eastAsia"/>
          <w:lang w:val="en-US"/>
        </w:rPr>
        <w:t>作用。</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lang w:val="en-US"/>
        </w:rPr>
      </w:pPr>
      <w:r>
        <w:rPr>
          <w:rFonts w:hint="eastAsia"/>
          <w:lang w:val="en-US"/>
        </w:rPr>
        <w:t>此外，评价还发现</w:t>
      </w:r>
      <w:r>
        <w:rPr>
          <w:rFonts w:hint="eastAsia"/>
        </w:rPr>
        <w:t>存在</w:t>
      </w:r>
      <w:r>
        <w:rPr>
          <w:rFonts w:hint="eastAsia"/>
          <w:lang w:val="en-US"/>
        </w:rPr>
        <w:t>绩效目标不合理、预算调整比例高、</w:t>
      </w:r>
      <w:r>
        <w:rPr>
          <w:rFonts w:hint="eastAsia"/>
        </w:rPr>
        <w:t>个别街道超范围</w:t>
      </w:r>
      <w:r>
        <w:rPr>
          <w:rFonts w:hint="eastAsia"/>
          <w:lang w:val="en-US"/>
        </w:rPr>
        <w:t>使用</w:t>
      </w:r>
      <w:r>
        <w:rPr>
          <w:rFonts w:hint="eastAsia"/>
        </w:rPr>
        <w:t>本项目资金</w:t>
      </w:r>
      <w:r>
        <w:rPr>
          <w:rFonts w:hint="eastAsia"/>
          <w:lang w:val="en-US"/>
        </w:rPr>
        <w:t>等情况</w:t>
      </w:r>
      <w:r>
        <w:rPr>
          <w:rFonts w:hint="eastAsia"/>
        </w:rPr>
        <w:t>。如大浪街道</w:t>
      </w:r>
      <w:r>
        <w:rPr>
          <w:rFonts w:hint="eastAsia"/>
          <w:lang w:val="en-US"/>
        </w:rPr>
        <w:t>用</w:t>
      </w:r>
      <w:r>
        <w:rPr>
          <w:rFonts w:hint="eastAsia"/>
        </w:rPr>
        <w:t>本专项整治经费购置办公室茶叶，大浪和龙华街道</w:t>
      </w:r>
      <w:r>
        <w:rPr>
          <w:rFonts w:hint="eastAsia"/>
          <w:lang w:val="en-US"/>
        </w:rPr>
        <w:t>用</w:t>
      </w:r>
      <w:r>
        <w:rPr>
          <w:rFonts w:hint="eastAsia"/>
        </w:rPr>
        <w:t>专项整治经费购置防疫物资，民治街道用专项经费刻制交安委办公章等。</w:t>
      </w:r>
    </w:p>
    <w:p>
      <w:pPr>
        <w:pStyle w:val="2"/>
        <w:numPr>
          <w:numId w:val="0"/>
        </w:numPr>
        <w:ind w:leftChars="200"/>
      </w:pPr>
      <w:r>
        <w:rPr>
          <w:rFonts w:hint="eastAsia"/>
          <w:lang w:eastAsia="zh-CN"/>
        </w:rPr>
        <w:t>五、</w:t>
      </w:r>
      <w:r>
        <w:rPr>
          <w:rFonts w:hint="eastAsia"/>
        </w:rPr>
        <w:t>改进建议</w:t>
      </w:r>
    </w:p>
    <w:p>
      <w:pPr>
        <w:pStyle w:val="4"/>
        <w:pageBreakBefore w:val="0"/>
        <w:widowControl w:val="0"/>
        <w:numPr>
          <w:numId w:val="0"/>
        </w:numPr>
        <w:kinsoku/>
        <w:wordWrap/>
        <w:overflowPunct/>
        <w:topLinePunct w:val="0"/>
        <w:autoSpaceDE/>
        <w:autoSpaceDN/>
        <w:bidi w:val="0"/>
        <w:adjustRightInd/>
        <w:snapToGrid/>
        <w:spacing w:line="560" w:lineRule="exact"/>
        <w:ind w:left="567" w:leftChars="0"/>
        <w:textAlignment w:val="auto"/>
        <w:rPr>
          <w:lang w:val="en-US"/>
        </w:rPr>
      </w:pPr>
      <w:bookmarkStart w:id="8" w:name="_Toc89764695"/>
      <w:r>
        <w:rPr>
          <w:rFonts w:hint="eastAsia"/>
          <w:lang w:val="en-US" w:eastAsia="zh-CN"/>
        </w:rPr>
        <w:t>（一）</w:t>
      </w:r>
      <w:r>
        <w:rPr>
          <w:rFonts w:hint="eastAsia"/>
          <w:lang w:val="en-US"/>
        </w:rPr>
        <w:t>贯彻</w:t>
      </w:r>
      <w:r>
        <w:t>分级、分类、属地</w:t>
      </w:r>
      <w:r>
        <w:rPr>
          <w:rFonts w:hint="eastAsia"/>
          <w:lang w:val="en-US"/>
        </w:rPr>
        <w:t>管理</w:t>
      </w:r>
      <w:r>
        <w:t>原则</w:t>
      </w:r>
      <w:r>
        <w:rPr>
          <w:rFonts w:hint="eastAsia"/>
        </w:rPr>
        <w:t>，</w:t>
      </w:r>
      <w:r>
        <w:rPr>
          <w:rFonts w:hint="eastAsia"/>
          <w:lang w:val="en-US"/>
        </w:rPr>
        <w:t>落实道路交通安全隐患整改责任</w:t>
      </w:r>
      <w:bookmarkEnd w:id="8"/>
    </w:p>
    <w:p>
      <w:pPr>
        <w:pStyle w:val="5"/>
        <w:pageBreakBefore w:val="0"/>
        <w:widowControl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建议区交安委组织细化落实</w:t>
      </w:r>
      <w:r>
        <w:t>分级、分类、属地</w:t>
      </w:r>
      <w:r>
        <w:rPr>
          <w:rFonts w:hint="eastAsia"/>
          <w:lang w:val="en-US"/>
        </w:rPr>
        <w:t>管理</w:t>
      </w:r>
      <w:r>
        <w:t>原则</w:t>
      </w:r>
      <w:r>
        <w:rPr>
          <w:rFonts w:hint="eastAsia"/>
        </w:rPr>
        <w:t>，</w:t>
      </w:r>
      <w:r>
        <w:rPr>
          <w:rFonts w:hint="eastAsia"/>
          <w:lang w:val="en-US"/>
        </w:rPr>
        <w:t>结合各方法定职责范围，合理界定各方在道路交通管理中的职责，确保职责与事权相匹配。一方面，合理划分道路交通隐患治理工作权责，实现区级部门与街道、社区各司其职，有必要联动开展的事项，明确由区交安办牵头组织实施隐患整改工作。另一方面，合理划定交通违法行为治理职责，强化交警部门的常态化执法，增强交通违法行为治理的约束力。</w:t>
      </w:r>
    </w:p>
    <w:p>
      <w:pPr>
        <w:pStyle w:val="4"/>
        <w:pageBreakBefore w:val="0"/>
        <w:widowControl w:val="0"/>
        <w:numPr>
          <w:numId w:val="0"/>
        </w:numPr>
        <w:kinsoku/>
        <w:wordWrap/>
        <w:overflowPunct/>
        <w:topLinePunct w:val="0"/>
        <w:autoSpaceDE/>
        <w:autoSpaceDN/>
        <w:bidi w:val="0"/>
        <w:adjustRightInd/>
        <w:snapToGrid/>
        <w:spacing w:line="560" w:lineRule="exact"/>
        <w:ind w:left="567" w:leftChars="0"/>
        <w:textAlignment w:val="auto"/>
        <w:rPr>
          <w:lang w:val="en-US"/>
        </w:rPr>
      </w:pPr>
      <w:bookmarkStart w:id="9" w:name="_Toc89764696"/>
      <w:r>
        <w:rPr>
          <w:rFonts w:hint="eastAsia"/>
          <w:lang w:val="en-US" w:eastAsia="zh-CN"/>
        </w:rPr>
        <w:t>（二）</w:t>
      </w:r>
      <w:r>
        <w:rPr>
          <w:rFonts w:hint="eastAsia"/>
          <w:lang w:val="en-US"/>
        </w:rPr>
        <w:t>制定全区道路交通治理整体方案，对目标责任落实情况进行跟踪监管</w:t>
      </w:r>
      <w:bookmarkEnd w:id="9"/>
    </w:p>
    <w:p>
      <w:pPr>
        <w:pStyle w:val="5"/>
        <w:pageBreakBefore w:val="0"/>
        <w:widowControl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建议区交安办</w:t>
      </w:r>
      <w:r>
        <w:rPr>
          <w:rFonts w:hint="eastAsia"/>
        </w:rPr>
        <w:t>根据《章程》</w:t>
      </w:r>
      <w:r>
        <w:rPr>
          <w:rFonts w:hint="eastAsia"/>
          <w:lang w:val="en-US"/>
        </w:rPr>
        <w:t>规定，</w:t>
      </w:r>
      <w:r>
        <w:rPr>
          <w:rFonts w:hint="eastAsia"/>
        </w:rPr>
        <w:t>搭建辖区内道路交通安全责任体系，</w:t>
      </w:r>
      <w:r>
        <w:rPr>
          <w:rFonts w:hint="eastAsia"/>
          <w:lang w:val="en-US"/>
        </w:rPr>
        <w:t>构建全区性的交通预联管理方案或标准，明确道路交通治理的目标，</w:t>
      </w:r>
      <w:r>
        <w:rPr>
          <w:rFonts w:hint="eastAsia"/>
        </w:rPr>
        <w:t>协调辖区内相关单位综合开展道路交通预联管理工作，</w:t>
      </w:r>
      <w:r>
        <w:rPr>
          <w:rFonts w:hint="eastAsia"/>
          <w:lang w:val="en-US"/>
        </w:rPr>
        <w:t>实现区、街道、社区的有效联动。在明确实施方案的基础上，建议区交安办进一步明确工作方案落实机制，强化执行过程跟踪和结果考核，严格落实交通预联管理目标责任制，对于道路交通安全隐患排查不到位、隐患整改不彻底、交通安全执法不到位、联动履职消极被动等情况，明确区分责任单位和责任人，进行通报批评甚至处罚。</w:t>
      </w:r>
    </w:p>
    <w:p>
      <w:pPr>
        <w:pStyle w:val="4"/>
        <w:pageBreakBefore w:val="0"/>
        <w:widowControl w:val="0"/>
        <w:numPr>
          <w:numId w:val="0"/>
        </w:numPr>
        <w:kinsoku/>
        <w:wordWrap/>
        <w:overflowPunct/>
        <w:topLinePunct w:val="0"/>
        <w:autoSpaceDE/>
        <w:autoSpaceDN/>
        <w:bidi w:val="0"/>
        <w:adjustRightInd/>
        <w:snapToGrid/>
        <w:spacing w:line="560" w:lineRule="exact"/>
        <w:ind w:left="567" w:leftChars="0"/>
        <w:textAlignment w:val="auto"/>
        <w:rPr>
          <w:rFonts w:ascii="楷体" w:hAnsi="楷体"/>
        </w:rPr>
      </w:pPr>
      <w:bookmarkStart w:id="10" w:name="_Toc89764697"/>
      <w:r>
        <w:rPr>
          <w:rFonts w:hint="eastAsia" w:ascii="楷体" w:hAnsi="楷体"/>
          <w:lang w:val="en-US" w:eastAsia="zh-CN"/>
        </w:rPr>
        <w:t>（三）</w:t>
      </w:r>
      <w:r>
        <w:rPr>
          <w:rFonts w:hint="eastAsia" w:ascii="楷体" w:hAnsi="楷体"/>
          <w:lang w:val="en-US"/>
        </w:rPr>
        <w:t>构建常态化道路交通管理机制，</w:t>
      </w:r>
      <w:r>
        <w:rPr>
          <w:rFonts w:hint="eastAsia" w:ascii="楷体" w:hAnsi="楷体"/>
        </w:rPr>
        <w:t>加大违法违规</w:t>
      </w:r>
      <w:r>
        <w:rPr>
          <w:rFonts w:hint="eastAsia" w:ascii="楷体" w:hAnsi="楷体"/>
          <w:lang w:val="en-US"/>
        </w:rPr>
        <w:t>行为</w:t>
      </w:r>
      <w:r>
        <w:rPr>
          <w:rFonts w:hint="eastAsia" w:ascii="楷体" w:hAnsi="楷体"/>
        </w:rPr>
        <w:t>惩戒力度</w:t>
      </w:r>
      <w:bookmarkEnd w:id="10"/>
    </w:p>
    <w:p>
      <w:pPr>
        <w:pStyle w:val="5"/>
        <w:pageBreakBefore w:val="0"/>
        <w:widowControl w:val="0"/>
        <w:kinsoku/>
        <w:wordWrap/>
        <w:overflowPunct/>
        <w:topLinePunct w:val="0"/>
        <w:autoSpaceDE/>
        <w:autoSpaceDN/>
        <w:bidi w:val="0"/>
        <w:adjustRightInd/>
        <w:snapToGrid/>
        <w:spacing w:line="560" w:lineRule="exact"/>
        <w:ind w:firstLine="640"/>
        <w:textAlignment w:val="auto"/>
      </w:pPr>
      <w:r>
        <w:rPr>
          <w:rFonts w:hint="eastAsia"/>
          <w:lang w:val="en-US"/>
        </w:rPr>
        <w:t>一方面，实现交通安全管理常态化，优化设计隐患治理机制。一是要切实做好隐患排查分工，明确每条道路的隐患排查、整改责任主体；二是要做好指导，明确隐患类型和对应整改措施；三是要加强考核监督，对于隐患发现不彻底、整改不到位、不及时的，根据相关规定进行处罚。另一方面，</w:t>
      </w:r>
      <w:r>
        <w:rPr>
          <w:rFonts w:hint="eastAsia"/>
        </w:rPr>
        <w:t>加大</w:t>
      </w:r>
      <w:r>
        <w:rPr>
          <w:rFonts w:hint="eastAsia"/>
          <w:lang w:val="en-US"/>
        </w:rPr>
        <w:t>路口交通</w:t>
      </w:r>
      <w:r>
        <w:rPr>
          <w:rFonts w:hint="eastAsia"/>
        </w:rPr>
        <w:t>违法违规惩戒力度，增加不守法成本。建议各街道办除了加强现有劝导、协管深度和广度之外，联合区交安办在现有法律法规基础上制定、落违法违规惩戒细则或机制，通过加大惩戒力度强化群众守法意识，提高群众守法率。</w:t>
      </w:r>
    </w:p>
    <w:p>
      <w:pPr>
        <w:pStyle w:val="4"/>
        <w:pageBreakBefore w:val="0"/>
        <w:widowControl w:val="0"/>
        <w:numPr>
          <w:numId w:val="0"/>
        </w:numPr>
        <w:kinsoku/>
        <w:wordWrap/>
        <w:overflowPunct/>
        <w:topLinePunct w:val="0"/>
        <w:autoSpaceDE/>
        <w:autoSpaceDN/>
        <w:bidi w:val="0"/>
        <w:adjustRightInd/>
        <w:snapToGrid/>
        <w:spacing w:line="560" w:lineRule="exact"/>
        <w:ind w:left="567" w:leftChars="0"/>
        <w:textAlignment w:val="auto"/>
        <w:rPr>
          <w:rFonts w:ascii="楷体" w:hAnsi="楷体"/>
          <w:lang w:val="en-US"/>
        </w:rPr>
      </w:pPr>
      <w:bookmarkStart w:id="11" w:name="_Toc89764698"/>
      <w:r>
        <w:rPr>
          <w:rFonts w:hint="eastAsia" w:ascii="楷体" w:hAnsi="楷体"/>
          <w:lang w:eastAsia="zh-CN"/>
        </w:rPr>
        <w:t>（四）</w:t>
      </w:r>
      <w:r>
        <w:rPr>
          <w:rFonts w:hint="eastAsia" w:ascii="楷体" w:hAnsi="楷体"/>
        </w:rPr>
        <w:t>提高项目实施信息化水平，</w:t>
      </w:r>
      <w:r>
        <w:rPr>
          <w:rFonts w:hint="eastAsia" w:ascii="楷体" w:hAnsi="楷体"/>
          <w:lang w:val="en-US"/>
        </w:rPr>
        <w:t>提高基层交安管理体系运转效率</w:t>
      </w:r>
      <w:bookmarkEnd w:id="11"/>
    </w:p>
    <w:p>
      <w:pPr>
        <w:pStyle w:val="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lang w:val="en-US"/>
        </w:rPr>
        <w:t>第一，</w:t>
      </w:r>
      <w:r>
        <w:rPr>
          <w:rFonts w:hint="eastAsia"/>
        </w:rPr>
        <w:t>提升道路交通信息化管理水平。借助现有“天网系统”“电子警察”等信息化系统，</w:t>
      </w:r>
      <w:r>
        <w:rPr>
          <w:rFonts w:hint="eastAsia"/>
          <w:lang w:val="en-US"/>
        </w:rPr>
        <w:t>充分发挥</w:t>
      </w:r>
      <w:r>
        <w:rPr>
          <w:rFonts w:hint="eastAsia"/>
        </w:rPr>
        <w:t>“</w:t>
      </w:r>
      <w:r>
        <w:rPr>
          <w:rFonts w:hint="eastAsia"/>
          <w:lang w:val="en-US"/>
        </w:rPr>
        <w:t>智慧龙华</w:t>
      </w:r>
      <w:r>
        <w:rPr>
          <w:rFonts w:hint="eastAsia"/>
        </w:rPr>
        <w:t>”挖掘分析事故成因、出行规律分析、重点车实时监管</w:t>
      </w:r>
      <w:r>
        <w:rPr>
          <w:rFonts w:hint="eastAsia"/>
          <w:lang w:val="en-US"/>
        </w:rPr>
        <w:t>等方面的作用，</w:t>
      </w:r>
      <w:r>
        <w:rPr>
          <w:rFonts w:hint="eastAsia"/>
        </w:rPr>
        <w:t>提升道路交通安全管理水平信息化水平。</w:t>
      </w:r>
      <w:r>
        <w:rPr>
          <w:rFonts w:hint="eastAsia"/>
          <w:lang w:val="en-US"/>
        </w:rPr>
        <w:t>第二，</w:t>
      </w:r>
      <w:r>
        <w:rPr>
          <w:rFonts w:hint="eastAsia"/>
        </w:rPr>
        <w:t>制定人员购买标准。结合各街道协管人员工作内容及人员素质要求，制定并明确协管人员工作职责要求、岗位内容、素质标准等，同时明确协管人员购买单价上限，</w:t>
      </w:r>
      <w:r>
        <w:rPr>
          <w:rFonts w:hint="eastAsia"/>
          <w:lang w:val="en-US"/>
        </w:rPr>
        <w:t>严格控制协管人员的不合理增长。第三，</w:t>
      </w:r>
      <w:r>
        <w:rPr>
          <w:rFonts w:hint="eastAsia"/>
        </w:rPr>
        <w:t>是加强对协管人员管理。对协管人员专业培训提升其专业素养；对协管人员落实考勤管理，确保定时定点上岗；对协管人员落实绩效考核，在现有考核要求上，将区交安办对各街道考核与协管人员工作落实情况挂钩，形成多次监管、相</w:t>
      </w:r>
      <w:r>
        <w:rPr>
          <w:rFonts w:hint="eastAsia"/>
          <w:lang w:val="en-US"/>
        </w:rPr>
        <w:t>互</w:t>
      </w:r>
      <w:r>
        <w:rPr>
          <w:rFonts w:hint="eastAsia"/>
        </w:rPr>
        <w:t>关联的考核机制。</w:t>
      </w:r>
    </w:p>
    <w:p>
      <w:pPr>
        <w:pStyle w:val="4"/>
        <w:pageBreakBefore w:val="0"/>
        <w:widowControl w:val="0"/>
        <w:kinsoku/>
        <w:wordWrap/>
        <w:overflowPunct/>
        <w:topLinePunct w:val="0"/>
        <w:autoSpaceDE/>
        <w:autoSpaceDN/>
        <w:bidi w:val="0"/>
        <w:adjustRightInd/>
        <w:snapToGrid/>
        <w:spacing w:line="560" w:lineRule="exact"/>
        <w:textAlignment w:val="auto"/>
      </w:pPr>
      <w:bookmarkStart w:id="12" w:name="_Toc89764699"/>
      <w:r>
        <w:rPr>
          <w:rFonts w:hint="eastAsia"/>
        </w:rPr>
        <w:t>强化预算绩效管理意识，加强资金使用管理</w:t>
      </w:r>
      <w:bookmarkEnd w:id="12"/>
    </w:p>
    <w:p>
      <w:pPr>
        <w:pStyle w:val="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lang w:val="en-US"/>
        </w:rPr>
        <w:t>第一，细化预算编制，</w:t>
      </w:r>
      <w:r>
        <w:rPr>
          <w:rFonts w:hint="eastAsia"/>
        </w:rPr>
        <w:t>提高预算编制合理性，在预算编制环节合理参考往年项目实施及资金支出情况，同时，明确并细化本年度项目实施计划，编制明确的项目绩效目标，提高预算编制科学性。</w:t>
      </w:r>
      <w:r>
        <w:rPr>
          <w:rFonts w:hint="eastAsia"/>
          <w:lang w:val="en-US"/>
        </w:rPr>
        <w:t>第二，合理分配资金，</w:t>
      </w:r>
      <w:r>
        <w:rPr>
          <w:rFonts w:hint="eastAsia"/>
        </w:rPr>
        <w:t>预算单位应充分总结往年项目资金使用情况及项目实施效果，合理分配项目资金，确保财政资金用到“刀刃”上。</w:t>
      </w:r>
      <w:r>
        <w:rPr>
          <w:rFonts w:hint="eastAsia" w:ascii="仿宋_GB2312" w:hAnsi="仿宋_GB2312" w:cs="仿宋_GB2312"/>
          <w:szCs w:val="32"/>
          <w:lang w:val="en-US"/>
        </w:rPr>
        <w:t>第三，</w:t>
      </w:r>
      <w:r>
        <w:rPr>
          <w:rFonts w:hint="eastAsia" w:ascii="仿宋_GB2312" w:hAnsi="仿宋_GB2312" w:cs="仿宋_GB2312"/>
          <w:szCs w:val="32"/>
        </w:rPr>
        <w:t>加强项目资金使用监管，建立健全多环节、多维度资金管理机制，加强资金使用过程的合理、合规性审核，确保项目资金使用合规。</w:t>
      </w:r>
    </w:p>
    <w:p>
      <w:pPr>
        <w:pStyle w:val="5"/>
        <w:ind w:firstLine="640"/>
        <w:rPr>
          <w:rFonts w:hint="eastAsia"/>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58420" cy="1397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14"/>
                            <w:rPr>
                              <w:rFonts w:eastAsia="等线"/>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outside;mso-position-horizontal-relative:margin;mso-wrap-style:none;z-index:251658240;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72xka9EAAAACAQAADwAAAAAAAAABACAAAAAi&#10;AAAAZHJzL2Rvd25yZXYueG1sUEsBAhQAFAAAAAgAh07iQHtx6akRAgAABAQAAA4AAAAAAAAAAQAg&#10;AAAAIAEAAGRycy9lMm9Eb2MueG1sUEsFBgAAAAAGAAYAWQEAAKMFAAAAAA==&#10;">
              <v:fill on="f" focussize="0,0"/>
              <v:stroke on="f" weight="0.5pt"/>
              <v:imagedata o:title=""/>
              <o:lock v:ext="edit" aspectratio="f"/>
              <v:textbox inset="0mm,0mm,0mm,0mm" style="mso-fit-shape-to-text:t;">
                <w:txbxContent>
                  <w:p>
                    <w:pPr>
                      <w:pStyle w:val="14"/>
                      <w:rPr>
                        <w:rFonts w:eastAsia="等线"/>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671B8"/>
    <w:multiLevelType w:val="multilevel"/>
    <w:tmpl w:val="610671B8"/>
    <w:lvl w:ilvl="0" w:tentative="0">
      <w:start w:val="1"/>
      <w:numFmt w:val="chineseCountingThousand"/>
      <w:pStyle w:val="2"/>
      <w:suff w:val="nothing"/>
      <w:lvlText w:val="%1、"/>
      <w:lvlJc w:val="left"/>
      <w:pPr>
        <w:ind w:left="425" w:hanging="425"/>
      </w:pPr>
      <w:rPr>
        <w:rFonts w:hint="eastAsia"/>
      </w:rPr>
    </w:lvl>
    <w:lvl w:ilvl="1" w:tentative="0">
      <w:start w:val="1"/>
      <w:numFmt w:val="chineseCountingThousand"/>
      <w:pStyle w:val="4"/>
      <w:suff w:val="nothing"/>
      <w:lvlText w:val="（%2）"/>
      <w:lvlJc w:val="left"/>
      <w:pPr>
        <w:ind w:left="992" w:hanging="567"/>
      </w:pPr>
      <w:rPr>
        <w:rFonts w:hint="eastAsia"/>
      </w:rPr>
    </w:lvl>
    <w:lvl w:ilvl="2" w:tentative="0">
      <w:start w:val="1"/>
      <w:numFmt w:val="decimal"/>
      <w:pStyle w:val="6"/>
      <w:suff w:val="nothing"/>
      <w:lvlText w:val="%3. "/>
      <w:lvlJc w:val="left"/>
      <w:pPr>
        <w:ind w:left="992" w:hanging="567"/>
      </w:pPr>
      <w:rPr>
        <w:rFonts w:hint="eastAsia"/>
      </w:rPr>
    </w:lvl>
    <w:lvl w:ilvl="3" w:tentative="0">
      <w:start w:val="1"/>
      <w:numFmt w:val="decimal"/>
      <w:pStyle w:val="7"/>
      <w:suff w:val="nothing"/>
      <w:lvlText w:val="（%4）"/>
      <w:lvlJc w:val="left"/>
      <w:pPr>
        <w:ind w:left="992" w:hanging="425"/>
      </w:pPr>
      <w:rPr>
        <w:rFonts w:hint="eastAsia"/>
      </w:rPr>
    </w:lvl>
    <w:lvl w:ilvl="4" w:tentative="0">
      <w:start w:val="1"/>
      <w:numFmt w:val="decimal"/>
      <w:pStyle w:val="8"/>
      <w:suff w:val="nothing"/>
      <w:lvlText w:val="%5）"/>
      <w:lvlJc w:val="left"/>
      <w:pPr>
        <w:ind w:left="992" w:hanging="113"/>
      </w:pPr>
      <w:rPr>
        <w:rFonts w:hint="eastAsia"/>
      </w:rPr>
    </w:lvl>
    <w:lvl w:ilvl="5" w:tentative="0">
      <w:start w:val="1"/>
      <w:numFmt w:val="decimal"/>
      <w:pStyle w:val="56"/>
      <w:suff w:val="nothing"/>
      <w:lvlText w:val="附件%6 "/>
      <w:lvlJc w:val="left"/>
      <w:pPr>
        <w:ind w:left="0" w:firstLine="0"/>
      </w:pPr>
      <w:rPr>
        <w:rFonts w:hint="eastAsia"/>
      </w:rPr>
    </w:lvl>
    <w:lvl w:ilvl="6" w:tentative="0">
      <w:start w:val="1"/>
      <w:numFmt w:val="chineseCountingThousand"/>
      <w:suff w:val="nothing"/>
      <w:lvlText w:val="%7、"/>
      <w:lvlJc w:val="left"/>
      <w:pPr>
        <w:ind w:left="992" w:hanging="567"/>
      </w:pPr>
      <w:rPr>
        <w:rFonts w:hint="eastAsia"/>
      </w:rPr>
    </w:lvl>
    <w:lvl w:ilvl="7" w:tentative="0">
      <w:start w:val="1"/>
      <w:numFmt w:val="chineseCountingThousand"/>
      <w:suff w:val="nothing"/>
      <w:lvlText w:val="（%8）"/>
      <w:lvlJc w:val="left"/>
      <w:pPr>
        <w:ind w:left="992" w:hanging="567"/>
      </w:pPr>
      <w:rPr>
        <w:rFonts w:hint="eastAsia"/>
      </w:rPr>
    </w:lvl>
    <w:lvl w:ilvl="8" w:tentative="0">
      <w:start w:val="1"/>
      <w:numFmt w:val="decimal"/>
      <w:suff w:val="nothing"/>
      <w:lvlText w:val="%9. "/>
      <w:lvlJc w:val="left"/>
      <w:pPr>
        <w:ind w:left="992" w:hanging="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1A1"/>
    <w:rsid w:val="00015FD7"/>
    <w:rsid w:val="00024CCD"/>
    <w:rsid w:val="00035C58"/>
    <w:rsid w:val="0004415E"/>
    <w:rsid w:val="00044534"/>
    <w:rsid w:val="0005304B"/>
    <w:rsid w:val="0005634B"/>
    <w:rsid w:val="00066C9A"/>
    <w:rsid w:val="00071965"/>
    <w:rsid w:val="00077277"/>
    <w:rsid w:val="00083FCC"/>
    <w:rsid w:val="00085C21"/>
    <w:rsid w:val="000879BF"/>
    <w:rsid w:val="000A646F"/>
    <w:rsid w:val="000C0DDB"/>
    <w:rsid w:val="000E7813"/>
    <w:rsid w:val="000F2B10"/>
    <w:rsid w:val="00102E6B"/>
    <w:rsid w:val="00106815"/>
    <w:rsid w:val="00114DEE"/>
    <w:rsid w:val="00121E22"/>
    <w:rsid w:val="00130703"/>
    <w:rsid w:val="00147A7E"/>
    <w:rsid w:val="00172053"/>
    <w:rsid w:val="001807D4"/>
    <w:rsid w:val="001976C5"/>
    <w:rsid w:val="0019781C"/>
    <w:rsid w:val="001B24EE"/>
    <w:rsid w:val="001B486E"/>
    <w:rsid w:val="001C5DE5"/>
    <w:rsid w:val="001E4440"/>
    <w:rsid w:val="001F5ADF"/>
    <w:rsid w:val="001F6C7D"/>
    <w:rsid w:val="00202D25"/>
    <w:rsid w:val="002215CB"/>
    <w:rsid w:val="00222A88"/>
    <w:rsid w:val="002301A1"/>
    <w:rsid w:val="0023442A"/>
    <w:rsid w:val="00237C0D"/>
    <w:rsid w:val="002470C4"/>
    <w:rsid w:val="00247346"/>
    <w:rsid w:val="0024799C"/>
    <w:rsid w:val="00270F7F"/>
    <w:rsid w:val="00272D30"/>
    <w:rsid w:val="00277770"/>
    <w:rsid w:val="002B01E4"/>
    <w:rsid w:val="002B2605"/>
    <w:rsid w:val="002B2D7B"/>
    <w:rsid w:val="002B4447"/>
    <w:rsid w:val="002C4356"/>
    <w:rsid w:val="002D5260"/>
    <w:rsid w:val="00306E74"/>
    <w:rsid w:val="0031438A"/>
    <w:rsid w:val="0034355A"/>
    <w:rsid w:val="00345EF3"/>
    <w:rsid w:val="0035499D"/>
    <w:rsid w:val="00356FCE"/>
    <w:rsid w:val="00377B07"/>
    <w:rsid w:val="00390FDC"/>
    <w:rsid w:val="0039624B"/>
    <w:rsid w:val="00397DBF"/>
    <w:rsid w:val="003B7C6C"/>
    <w:rsid w:val="003D3060"/>
    <w:rsid w:val="004408E8"/>
    <w:rsid w:val="00441843"/>
    <w:rsid w:val="004531F9"/>
    <w:rsid w:val="00467C80"/>
    <w:rsid w:val="0047691E"/>
    <w:rsid w:val="00477F73"/>
    <w:rsid w:val="00493F68"/>
    <w:rsid w:val="004A5E40"/>
    <w:rsid w:val="004C17AC"/>
    <w:rsid w:val="004D5BB2"/>
    <w:rsid w:val="00521D8F"/>
    <w:rsid w:val="005373A0"/>
    <w:rsid w:val="00545FF8"/>
    <w:rsid w:val="00546D71"/>
    <w:rsid w:val="00560DED"/>
    <w:rsid w:val="00567792"/>
    <w:rsid w:val="00596155"/>
    <w:rsid w:val="005C1595"/>
    <w:rsid w:val="005C4184"/>
    <w:rsid w:val="005C7243"/>
    <w:rsid w:val="005E16C6"/>
    <w:rsid w:val="00607F4F"/>
    <w:rsid w:val="00610C44"/>
    <w:rsid w:val="00613A73"/>
    <w:rsid w:val="0065242E"/>
    <w:rsid w:val="00670309"/>
    <w:rsid w:val="00672BF2"/>
    <w:rsid w:val="00681991"/>
    <w:rsid w:val="00687BCE"/>
    <w:rsid w:val="006942D8"/>
    <w:rsid w:val="006B5747"/>
    <w:rsid w:val="006B6D34"/>
    <w:rsid w:val="006C0552"/>
    <w:rsid w:val="006C2D21"/>
    <w:rsid w:val="006D0A02"/>
    <w:rsid w:val="006D38B2"/>
    <w:rsid w:val="006D5A37"/>
    <w:rsid w:val="006E3C10"/>
    <w:rsid w:val="00703048"/>
    <w:rsid w:val="00712C1B"/>
    <w:rsid w:val="00713050"/>
    <w:rsid w:val="00723FCB"/>
    <w:rsid w:val="00744BAE"/>
    <w:rsid w:val="0075724F"/>
    <w:rsid w:val="00773796"/>
    <w:rsid w:val="007C1028"/>
    <w:rsid w:val="007C24A1"/>
    <w:rsid w:val="007C5DBA"/>
    <w:rsid w:val="00817BD0"/>
    <w:rsid w:val="00831D13"/>
    <w:rsid w:val="0084030D"/>
    <w:rsid w:val="008461D5"/>
    <w:rsid w:val="008656D4"/>
    <w:rsid w:val="00876C42"/>
    <w:rsid w:val="008822AB"/>
    <w:rsid w:val="00883F44"/>
    <w:rsid w:val="008909AF"/>
    <w:rsid w:val="008A0117"/>
    <w:rsid w:val="008A4DAC"/>
    <w:rsid w:val="008B391F"/>
    <w:rsid w:val="008D3AE2"/>
    <w:rsid w:val="008D6E54"/>
    <w:rsid w:val="009052BB"/>
    <w:rsid w:val="00910FBE"/>
    <w:rsid w:val="00944FA3"/>
    <w:rsid w:val="009535A2"/>
    <w:rsid w:val="00960981"/>
    <w:rsid w:val="0096155B"/>
    <w:rsid w:val="00991CC6"/>
    <w:rsid w:val="009A6EC2"/>
    <w:rsid w:val="009B506F"/>
    <w:rsid w:val="009B5C0F"/>
    <w:rsid w:val="009B6DDE"/>
    <w:rsid w:val="009B7E8D"/>
    <w:rsid w:val="009D6F67"/>
    <w:rsid w:val="009E5B2A"/>
    <w:rsid w:val="009F536F"/>
    <w:rsid w:val="00A05231"/>
    <w:rsid w:val="00A134E9"/>
    <w:rsid w:val="00A42809"/>
    <w:rsid w:val="00A4542A"/>
    <w:rsid w:val="00A56C90"/>
    <w:rsid w:val="00A57ADB"/>
    <w:rsid w:val="00A63D43"/>
    <w:rsid w:val="00A725CC"/>
    <w:rsid w:val="00AA00C0"/>
    <w:rsid w:val="00AA6DFA"/>
    <w:rsid w:val="00AB308A"/>
    <w:rsid w:val="00AC0286"/>
    <w:rsid w:val="00AC4D1A"/>
    <w:rsid w:val="00AD501E"/>
    <w:rsid w:val="00B274E4"/>
    <w:rsid w:val="00B2776E"/>
    <w:rsid w:val="00B4122F"/>
    <w:rsid w:val="00B43775"/>
    <w:rsid w:val="00B44CDA"/>
    <w:rsid w:val="00B76B39"/>
    <w:rsid w:val="00B77990"/>
    <w:rsid w:val="00B82711"/>
    <w:rsid w:val="00B87DFC"/>
    <w:rsid w:val="00B934BC"/>
    <w:rsid w:val="00BA700E"/>
    <w:rsid w:val="00BB242D"/>
    <w:rsid w:val="00BB5C78"/>
    <w:rsid w:val="00BC6E4B"/>
    <w:rsid w:val="00BE4293"/>
    <w:rsid w:val="00BF5B0B"/>
    <w:rsid w:val="00C0093D"/>
    <w:rsid w:val="00C14179"/>
    <w:rsid w:val="00C149BF"/>
    <w:rsid w:val="00C20481"/>
    <w:rsid w:val="00C47486"/>
    <w:rsid w:val="00C515BC"/>
    <w:rsid w:val="00C57BC0"/>
    <w:rsid w:val="00C705E2"/>
    <w:rsid w:val="00C71C8D"/>
    <w:rsid w:val="00C7785A"/>
    <w:rsid w:val="00CA53E1"/>
    <w:rsid w:val="00CA7294"/>
    <w:rsid w:val="00CB15DE"/>
    <w:rsid w:val="00CB3D5E"/>
    <w:rsid w:val="00CC2F11"/>
    <w:rsid w:val="00CD5214"/>
    <w:rsid w:val="00CE7600"/>
    <w:rsid w:val="00CF3D90"/>
    <w:rsid w:val="00D238B2"/>
    <w:rsid w:val="00D26907"/>
    <w:rsid w:val="00D3096C"/>
    <w:rsid w:val="00D32DBF"/>
    <w:rsid w:val="00D64431"/>
    <w:rsid w:val="00D74E79"/>
    <w:rsid w:val="00D8113E"/>
    <w:rsid w:val="00D82ACE"/>
    <w:rsid w:val="00DA5BB4"/>
    <w:rsid w:val="00DB14F7"/>
    <w:rsid w:val="00DE0319"/>
    <w:rsid w:val="00DE254C"/>
    <w:rsid w:val="00E04113"/>
    <w:rsid w:val="00E041C3"/>
    <w:rsid w:val="00E20797"/>
    <w:rsid w:val="00E34DC0"/>
    <w:rsid w:val="00E427DD"/>
    <w:rsid w:val="00E449A7"/>
    <w:rsid w:val="00E44A1F"/>
    <w:rsid w:val="00E81226"/>
    <w:rsid w:val="00EA154D"/>
    <w:rsid w:val="00EB2A81"/>
    <w:rsid w:val="00EC1253"/>
    <w:rsid w:val="00EC42B2"/>
    <w:rsid w:val="00EE5AD0"/>
    <w:rsid w:val="00EE7049"/>
    <w:rsid w:val="00EF1D4A"/>
    <w:rsid w:val="00EF1FA9"/>
    <w:rsid w:val="00F14EA6"/>
    <w:rsid w:val="00F24ACB"/>
    <w:rsid w:val="00F8405D"/>
    <w:rsid w:val="00F95D73"/>
    <w:rsid w:val="00FC36AB"/>
    <w:rsid w:val="00FD34B5"/>
    <w:rsid w:val="00FE03FA"/>
    <w:rsid w:val="00FE2446"/>
    <w:rsid w:val="00FF42FB"/>
    <w:rsid w:val="00FF4B3C"/>
    <w:rsid w:val="34B2384D"/>
    <w:rsid w:val="55482320"/>
    <w:rsid w:val="55636375"/>
    <w:rsid w:val="6D6D4C99"/>
    <w:rsid w:val="6E3B4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nhideWhenUsed="0" w:uiPriority="2" w:semiHidden="0" w:name="heading 3"/>
    <w:lsdException w:qFormat="1" w:unhideWhenUsed="0" w:uiPriority="3"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nhideWhenUsed="0" w:uiPriority="0" w:semiHidden="0"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1"/>
      <w:lang w:val="en-US" w:eastAsia="zh-CN" w:bidi="ar-SA"/>
    </w:rPr>
  </w:style>
  <w:style w:type="paragraph" w:styleId="2">
    <w:name w:val="heading 1"/>
    <w:basedOn w:val="3"/>
    <w:next w:val="3"/>
    <w:link w:val="34"/>
    <w:qFormat/>
    <w:uiPriority w:val="9"/>
    <w:pPr>
      <w:numPr>
        <w:ilvl w:val="0"/>
        <w:numId w:val="1"/>
      </w:numPr>
      <w:spacing w:before="120" w:after="60"/>
      <w:ind w:left="0" w:firstLine="200"/>
      <w:outlineLvl w:val="0"/>
    </w:pPr>
    <w:rPr>
      <w:rFonts w:eastAsia="黑体"/>
      <w:bCs/>
      <w:kern w:val="44"/>
      <w:szCs w:val="44"/>
    </w:rPr>
  </w:style>
  <w:style w:type="paragraph" w:styleId="4">
    <w:name w:val="heading 2"/>
    <w:basedOn w:val="5"/>
    <w:next w:val="5"/>
    <w:link w:val="36"/>
    <w:qFormat/>
    <w:uiPriority w:val="1"/>
    <w:pPr>
      <w:keepNext/>
      <w:keepLines/>
      <w:numPr>
        <w:ilvl w:val="1"/>
        <w:numId w:val="1"/>
      </w:numPr>
      <w:spacing w:before="120" w:after="60"/>
      <w:ind w:left="0" w:firstLine="567" w:firstLineChars="0"/>
      <w:outlineLvl w:val="1"/>
    </w:pPr>
    <w:rPr>
      <w:rFonts w:eastAsia="楷体"/>
      <w:b/>
      <w:bCs/>
      <w:szCs w:val="32"/>
    </w:rPr>
  </w:style>
  <w:style w:type="paragraph" w:styleId="6">
    <w:name w:val="heading 3"/>
    <w:basedOn w:val="5"/>
    <w:next w:val="5"/>
    <w:link w:val="33"/>
    <w:qFormat/>
    <w:uiPriority w:val="2"/>
    <w:pPr>
      <w:keepNext/>
      <w:keepLines/>
      <w:numPr>
        <w:ilvl w:val="2"/>
        <w:numId w:val="1"/>
      </w:numPr>
      <w:spacing w:before="120" w:after="60"/>
      <w:ind w:left="0" w:firstLine="200"/>
      <w:outlineLvl w:val="2"/>
    </w:pPr>
    <w:rPr>
      <w:b/>
      <w:bCs/>
      <w:szCs w:val="32"/>
    </w:rPr>
  </w:style>
  <w:style w:type="paragraph" w:styleId="7">
    <w:name w:val="heading 4"/>
    <w:basedOn w:val="5"/>
    <w:next w:val="1"/>
    <w:link w:val="35"/>
    <w:qFormat/>
    <w:uiPriority w:val="3"/>
    <w:pPr>
      <w:keepNext/>
      <w:keepLines/>
      <w:numPr>
        <w:ilvl w:val="3"/>
        <w:numId w:val="1"/>
      </w:numPr>
      <w:spacing w:before="120" w:after="60"/>
      <w:ind w:left="0" w:firstLine="200"/>
      <w:outlineLvl w:val="3"/>
    </w:pPr>
    <w:rPr>
      <w:b/>
      <w:bCs/>
    </w:rPr>
  </w:style>
  <w:style w:type="paragraph" w:styleId="8">
    <w:name w:val="heading 5"/>
    <w:basedOn w:val="5"/>
    <w:next w:val="5"/>
    <w:link w:val="37"/>
    <w:qFormat/>
    <w:uiPriority w:val="9"/>
    <w:pPr>
      <w:keepNext/>
      <w:keepLines/>
      <w:numPr>
        <w:ilvl w:val="4"/>
        <w:numId w:val="1"/>
      </w:numPr>
      <w:spacing w:before="120" w:after="60"/>
      <w:ind w:firstLine="0" w:firstLineChars="0"/>
      <w:outlineLvl w:val="4"/>
    </w:pPr>
    <w:rPr>
      <w:b/>
      <w:bCs/>
    </w:rPr>
  </w:style>
  <w:style w:type="paragraph" w:styleId="9">
    <w:name w:val="heading 6"/>
    <w:basedOn w:val="1"/>
    <w:next w:val="1"/>
    <w:qFormat/>
    <w:uiPriority w:val="9"/>
    <w:pPr>
      <w:keepNext/>
      <w:keepLines/>
      <w:spacing w:before="240" w:after="64" w:line="317" w:lineRule="auto"/>
      <w:outlineLvl w:val="5"/>
    </w:pPr>
    <w:rPr>
      <w:rFonts w:ascii="Arial" w:hAnsi="Arial" w:eastAsia="黑体"/>
      <w:b/>
      <w:sz w:val="24"/>
    </w:rPr>
  </w:style>
  <w:style w:type="character" w:default="1" w:styleId="22">
    <w:name w:val="Default Paragraph Font"/>
    <w:semiHidden/>
    <w:unhideWhenUsed/>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customStyle="1" w:styleId="3">
    <w:name w:val="闻政正文"/>
    <w:basedOn w:val="1"/>
    <w:qFormat/>
    <w:uiPriority w:val="3"/>
    <w:pPr>
      <w:ind w:firstLine="200" w:firstLineChars="200"/>
    </w:pPr>
    <w:rPr>
      <w:rFonts w:ascii="仿宋_GB2312" w:hAnsi="仿宋_GB2312"/>
      <w:sz w:val="32"/>
      <w:szCs w:val="28"/>
      <w:lang w:val="zh-CN"/>
    </w:rPr>
  </w:style>
  <w:style w:type="paragraph" w:customStyle="1" w:styleId="5">
    <w:name w:val="星耀正文"/>
    <w:basedOn w:val="1"/>
    <w:link w:val="40"/>
    <w:qFormat/>
    <w:uiPriority w:val="3"/>
    <w:pPr>
      <w:spacing w:line="500" w:lineRule="exact"/>
      <w:ind w:firstLine="200" w:firstLineChars="200"/>
    </w:pPr>
    <w:rPr>
      <w:rFonts w:ascii="Times New Roman" w:hAnsi="Times New Roman" w:eastAsia="仿宋_GB2312"/>
      <w:kern w:val="0"/>
      <w:sz w:val="32"/>
      <w:szCs w:val="28"/>
      <w:lang w:val="zh-CN"/>
    </w:rPr>
  </w:style>
  <w:style w:type="paragraph" w:styleId="10">
    <w:name w:val="caption"/>
    <w:basedOn w:val="1"/>
    <w:next w:val="1"/>
    <w:qFormat/>
    <w:uiPriority w:val="35"/>
    <w:rPr>
      <w:rFonts w:ascii="等线 Light" w:hAnsi="等线 Light" w:eastAsia="黑体"/>
      <w:sz w:val="20"/>
      <w:szCs w:val="20"/>
    </w:rPr>
  </w:style>
  <w:style w:type="paragraph" w:styleId="11">
    <w:name w:val="annotation text"/>
    <w:basedOn w:val="1"/>
    <w:link w:val="42"/>
    <w:unhideWhenUsed/>
    <w:qFormat/>
    <w:uiPriority w:val="99"/>
    <w:pPr>
      <w:jc w:val="left"/>
    </w:pPr>
  </w:style>
  <w:style w:type="paragraph" w:styleId="12">
    <w:name w:val="toc 3"/>
    <w:basedOn w:val="1"/>
    <w:next w:val="1"/>
    <w:unhideWhenUsed/>
    <w:qFormat/>
    <w:uiPriority w:val="39"/>
    <w:pPr>
      <w:ind w:left="840" w:leftChars="400"/>
    </w:pPr>
  </w:style>
  <w:style w:type="paragraph" w:styleId="13">
    <w:name w:val="Balloon Text"/>
    <w:basedOn w:val="1"/>
    <w:link w:val="38"/>
    <w:unhideWhenUsed/>
    <w:qFormat/>
    <w:uiPriority w:val="99"/>
    <w:rPr>
      <w:sz w:val="18"/>
      <w:szCs w:val="18"/>
    </w:rPr>
  </w:style>
  <w:style w:type="paragraph" w:styleId="14">
    <w:name w:val="footer"/>
    <w:basedOn w:val="1"/>
    <w:link w:val="39"/>
    <w:unhideWhenUsed/>
    <w:qFormat/>
    <w:uiPriority w:val="99"/>
    <w:pPr>
      <w:tabs>
        <w:tab w:val="center" w:pos="4153"/>
        <w:tab w:val="right" w:pos="8306"/>
      </w:tabs>
      <w:snapToGrid w:val="0"/>
      <w:jc w:val="left"/>
    </w:pPr>
    <w:rPr>
      <w:rFonts w:ascii="Calibri" w:hAnsi="Calibri" w:eastAsia="宋体"/>
      <w:sz w:val="18"/>
      <w:szCs w:val="18"/>
    </w:rPr>
  </w:style>
  <w:style w:type="paragraph" w:styleId="15">
    <w:name w:val="header"/>
    <w:basedOn w:val="1"/>
    <w:link w:val="43"/>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5"/>
    <w:next w:val="5"/>
    <w:unhideWhenUsed/>
    <w:qFormat/>
    <w:uiPriority w:val="39"/>
    <w:pPr>
      <w:tabs>
        <w:tab w:val="right" w:leader="dot" w:pos="8296"/>
      </w:tabs>
      <w:spacing w:line="460" w:lineRule="exact"/>
      <w:ind w:firstLine="0" w:firstLineChars="0"/>
    </w:pPr>
    <w:rPr>
      <w:b/>
    </w:rPr>
  </w:style>
  <w:style w:type="paragraph" w:styleId="17">
    <w:name w:val="footnote text"/>
    <w:basedOn w:val="1"/>
    <w:link w:val="28"/>
    <w:qFormat/>
    <w:uiPriority w:val="0"/>
    <w:pPr>
      <w:snapToGrid w:val="0"/>
      <w:jc w:val="left"/>
    </w:pPr>
    <w:rPr>
      <w:rFonts w:ascii="Times New Roman" w:hAnsi="Times New Roman" w:eastAsia="仿宋_GB2312"/>
      <w:sz w:val="18"/>
      <w:szCs w:val="18"/>
    </w:rPr>
  </w:style>
  <w:style w:type="paragraph" w:styleId="18">
    <w:name w:val="toc 2"/>
    <w:basedOn w:val="5"/>
    <w:next w:val="5"/>
    <w:unhideWhenUsed/>
    <w:qFormat/>
    <w:uiPriority w:val="39"/>
    <w:pPr>
      <w:tabs>
        <w:tab w:val="right" w:leader="dot" w:pos="8296"/>
      </w:tabs>
      <w:spacing w:line="460" w:lineRule="exact"/>
      <w:ind w:left="200" w:leftChars="200" w:firstLine="0" w:firstLineChars="0"/>
    </w:pPr>
  </w:style>
  <w:style w:type="paragraph" w:styleId="19">
    <w:name w:val="annotation subject"/>
    <w:basedOn w:val="11"/>
    <w:next w:val="11"/>
    <w:link w:val="41"/>
    <w:unhideWhenUsed/>
    <w:qFormat/>
    <w:uiPriority w:val="99"/>
    <w:rPr>
      <w:b/>
      <w:bCs/>
    </w:rPr>
  </w:style>
  <w:style w:type="table" w:styleId="21">
    <w:name w:val="Table Grid"/>
    <w:basedOn w:val="20"/>
    <w:qFormat/>
    <w:uiPriority w:val="99"/>
    <w:pPr>
      <w:spacing w:line="300" w:lineRule="exact"/>
      <w:jc w:val="center"/>
    </w:pPr>
    <w:rPr>
      <w:rFonts w:eastAsia="仿宋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rPr>
      <w:tblHeader/>
    </w:trPr>
    <w:tcPr>
      <w:vAlign w:val="center"/>
    </w:tcPr>
  </w:style>
  <w:style w:type="character" w:styleId="23">
    <w:name w:val="Hyperlink"/>
    <w:unhideWhenUsed/>
    <w:qFormat/>
    <w:uiPriority w:val="99"/>
    <w:rPr>
      <w:color w:val="0563C1"/>
      <w:u w:val="single"/>
    </w:rPr>
  </w:style>
  <w:style w:type="character" w:styleId="24">
    <w:name w:val="annotation reference"/>
    <w:unhideWhenUsed/>
    <w:uiPriority w:val="99"/>
    <w:rPr>
      <w:sz w:val="21"/>
      <w:szCs w:val="21"/>
    </w:rPr>
  </w:style>
  <w:style w:type="character" w:styleId="25">
    <w:name w:val="footnote reference"/>
    <w:uiPriority w:val="0"/>
    <w:rPr>
      <w:vertAlign w:val="superscript"/>
    </w:rPr>
  </w:style>
  <w:style w:type="character" w:customStyle="1" w:styleId="26">
    <w:name w:val="闻政图表名 字符"/>
    <w:link w:val="27"/>
    <w:qFormat/>
    <w:uiPriority w:val="4"/>
    <w:rPr>
      <w:rFonts w:ascii="Times New Roman" w:hAnsi="Times New Roman" w:eastAsia="仿宋_GB2312" w:cs="Times New Roman"/>
      <w:b/>
      <w:kern w:val="0"/>
      <w:sz w:val="24"/>
      <w:szCs w:val="28"/>
    </w:rPr>
  </w:style>
  <w:style w:type="paragraph" w:customStyle="1" w:styleId="27">
    <w:name w:val="星耀图表名"/>
    <w:basedOn w:val="1"/>
    <w:link w:val="26"/>
    <w:qFormat/>
    <w:uiPriority w:val="4"/>
    <w:pPr>
      <w:spacing w:before="60" w:after="60"/>
      <w:jc w:val="center"/>
    </w:pPr>
    <w:rPr>
      <w:rFonts w:ascii="Times New Roman" w:hAnsi="Times New Roman" w:eastAsia="仿宋_GB2312"/>
      <w:b/>
      <w:kern w:val="0"/>
      <w:sz w:val="24"/>
      <w:szCs w:val="28"/>
    </w:rPr>
  </w:style>
  <w:style w:type="character" w:customStyle="1" w:styleId="28">
    <w:name w:val="脚注文本 字符"/>
    <w:link w:val="17"/>
    <w:qFormat/>
    <w:uiPriority w:val="0"/>
    <w:rPr>
      <w:rFonts w:ascii="Times New Roman" w:hAnsi="Times New Roman" w:eastAsia="仿宋_GB2312"/>
      <w:sz w:val="18"/>
      <w:szCs w:val="18"/>
    </w:rPr>
  </w:style>
  <w:style w:type="character" w:customStyle="1" w:styleId="29">
    <w:name w:val="闻政图（表）注 Char"/>
    <w:link w:val="30"/>
    <w:qFormat/>
    <w:uiPriority w:val="5"/>
    <w:rPr>
      <w:rFonts w:ascii="Times New Roman" w:hAnsi="Times New Roman" w:eastAsia="仿宋_GB2312" w:cs="Arial"/>
      <w:kern w:val="0"/>
    </w:rPr>
  </w:style>
  <w:style w:type="paragraph" w:customStyle="1" w:styleId="30">
    <w:name w:val="星耀图（表）注"/>
    <w:basedOn w:val="1"/>
    <w:link w:val="29"/>
    <w:qFormat/>
    <w:uiPriority w:val="5"/>
    <w:pPr>
      <w:spacing w:before="120"/>
    </w:pPr>
    <w:rPr>
      <w:rFonts w:ascii="Times New Roman" w:hAnsi="Times New Roman" w:eastAsia="仿宋_GB2312" w:cs="Arial"/>
      <w:kern w:val="0"/>
    </w:rPr>
  </w:style>
  <w:style w:type="character" w:customStyle="1" w:styleId="31">
    <w:name w:val="闻政表文字 字符"/>
    <w:link w:val="32"/>
    <w:qFormat/>
    <w:uiPriority w:val="5"/>
    <w:rPr>
      <w:rFonts w:ascii="Times New Roman" w:hAnsi="Times New Roman" w:eastAsia="仿宋_GB2312" w:cs="宋体"/>
      <w:bCs/>
      <w:color w:val="000000"/>
      <w:kern w:val="0"/>
      <w:sz w:val="22"/>
      <w:szCs w:val="22"/>
      <w:lang w:val="zh-CN" w:eastAsia="zh-CN"/>
    </w:rPr>
  </w:style>
  <w:style w:type="paragraph" w:customStyle="1" w:styleId="32">
    <w:name w:val="星耀表文字"/>
    <w:basedOn w:val="5"/>
    <w:link w:val="31"/>
    <w:qFormat/>
    <w:uiPriority w:val="5"/>
    <w:pPr>
      <w:widowControl/>
      <w:spacing w:line="320" w:lineRule="exact"/>
      <w:ind w:firstLine="0" w:firstLineChars="0"/>
      <w:jc w:val="center"/>
    </w:pPr>
    <w:rPr>
      <w:rFonts w:cs="宋体"/>
      <w:bCs/>
      <w:color w:val="000000"/>
      <w:sz w:val="22"/>
      <w:szCs w:val="22"/>
    </w:rPr>
  </w:style>
  <w:style w:type="character" w:customStyle="1" w:styleId="33">
    <w:name w:val="标题 3 字符"/>
    <w:link w:val="6"/>
    <w:qFormat/>
    <w:uiPriority w:val="2"/>
    <w:rPr>
      <w:rFonts w:ascii="Times New Roman" w:hAnsi="Times New Roman" w:eastAsia="仿宋_GB2312" w:cs="Times New Roman"/>
      <w:b/>
      <w:bCs/>
      <w:kern w:val="0"/>
      <w:sz w:val="28"/>
      <w:szCs w:val="32"/>
      <w:lang w:val="zh-CN" w:eastAsia="zh-CN"/>
    </w:rPr>
  </w:style>
  <w:style w:type="character" w:customStyle="1" w:styleId="34">
    <w:name w:val="标题 1 字符"/>
    <w:link w:val="2"/>
    <w:qFormat/>
    <w:uiPriority w:val="0"/>
    <w:rPr>
      <w:rFonts w:ascii="Times New Roman" w:hAnsi="Times New Roman" w:eastAsia="黑体" w:cs="Times New Roman"/>
      <w:bCs/>
      <w:kern w:val="44"/>
      <w:sz w:val="32"/>
      <w:szCs w:val="44"/>
      <w:lang w:val="zh-CN" w:eastAsia="zh-CN"/>
    </w:rPr>
  </w:style>
  <w:style w:type="character" w:customStyle="1" w:styleId="35">
    <w:name w:val="标题 4 字符"/>
    <w:link w:val="7"/>
    <w:qFormat/>
    <w:uiPriority w:val="3"/>
    <w:rPr>
      <w:rFonts w:ascii="Times New Roman" w:hAnsi="Times New Roman" w:eastAsia="仿宋_GB2312" w:cs="Times New Roman"/>
      <w:b/>
      <w:bCs/>
      <w:kern w:val="0"/>
      <w:sz w:val="28"/>
      <w:szCs w:val="28"/>
      <w:lang w:val="zh-CN" w:eastAsia="zh-CN"/>
    </w:rPr>
  </w:style>
  <w:style w:type="character" w:customStyle="1" w:styleId="36">
    <w:name w:val="标题 2 字符"/>
    <w:link w:val="4"/>
    <w:uiPriority w:val="1"/>
    <w:rPr>
      <w:rFonts w:eastAsia="楷体"/>
      <w:b/>
      <w:bCs/>
      <w:sz w:val="32"/>
      <w:szCs w:val="32"/>
      <w:lang w:val="zh-CN"/>
    </w:rPr>
  </w:style>
  <w:style w:type="character" w:customStyle="1" w:styleId="37">
    <w:name w:val="标题 5 字符"/>
    <w:link w:val="8"/>
    <w:qFormat/>
    <w:uiPriority w:val="9"/>
    <w:rPr>
      <w:rFonts w:ascii="Times New Roman" w:hAnsi="Times New Roman" w:eastAsia="仿宋_GB2312" w:cs="Times New Roman"/>
      <w:b/>
      <w:bCs/>
      <w:kern w:val="0"/>
      <w:sz w:val="28"/>
      <w:szCs w:val="28"/>
      <w:lang w:val="zh-CN" w:eastAsia="zh-CN"/>
    </w:rPr>
  </w:style>
  <w:style w:type="character" w:customStyle="1" w:styleId="38">
    <w:name w:val="批注框文本 字符"/>
    <w:link w:val="13"/>
    <w:semiHidden/>
    <w:qFormat/>
    <w:uiPriority w:val="99"/>
    <w:rPr>
      <w:sz w:val="18"/>
      <w:szCs w:val="18"/>
    </w:rPr>
  </w:style>
  <w:style w:type="character" w:customStyle="1" w:styleId="39">
    <w:name w:val="页脚 字符"/>
    <w:link w:val="14"/>
    <w:qFormat/>
    <w:uiPriority w:val="99"/>
    <w:rPr>
      <w:rFonts w:ascii="Calibri" w:hAnsi="Calibri" w:eastAsia="宋体" w:cs="Times New Roman"/>
      <w:sz w:val="18"/>
      <w:szCs w:val="18"/>
    </w:rPr>
  </w:style>
  <w:style w:type="character" w:customStyle="1" w:styleId="40">
    <w:name w:val="闻政正文 Char"/>
    <w:link w:val="5"/>
    <w:qFormat/>
    <w:uiPriority w:val="3"/>
    <w:rPr>
      <w:rFonts w:ascii="Times New Roman" w:hAnsi="Times New Roman" w:eastAsia="仿宋_GB2312" w:cs="Times New Roman"/>
      <w:kern w:val="0"/>
      <w:sz w:val="32"/>
      <w:szCs w:val="28"/>
      <w:lang w:val="zh-CN" w:eastAsia="zh-CN"/>
    </w:rPr>
  </w:style>
  <w:style w:type="character" w:customStyle="1" w:styleId="41">
    <w:name w:val="批注主题 字符"/>
    <w:link w:val="19"/>
    <w:semiHidden/>
    <w:qFormat/>
    <w:uiPriority w:val="99"/>
    <w:rPr>
      <w:b/>
      <w:bCs/>
    </w:rPr>
  </w:style>
  <w:style w:type="character" w:customStyle="1" w:styleId="42">
    <w:name w:val="批注文字 字符"/>
    <w:basedOn w:val="22"/>
    <w:link w:val="11"/>
    <w:qFormat/>
    <w:uiPriority w:val="99"/>
  </w:style>
  <w:style w:type="character" w:customStyle="1" w:styleId="43">
    <w:name w:val="页眉 字符"/>
    <w:link w:val="15"/>
    <w:qFormat/>
    <w:uiPriority w:val="99"/>
    <w:rPr>
      <w:sz w:val="18"/>
      <w:szCs w:val="18"/>
    </w:rPr>
  </w:style>
  <w:style w:type="paragraph" w:customStyle="1" w:styleId="44">
    <w:name w:val="星耀附件三级标题"/>
    <w:basedOn w:val="45"/>
    <w:qFormat/>
    <w:uiPriority w:val="8"/>
    <w:rPr>
      <w:rFonts w:ascii="Times New Roman" w:hAnsi="Times New Roman" w:eastAsia="仿宋_GB2312"/>
    </w:rPr>
  </w:style>
  <w:style w:type="paragraph" w:customStyle="1" w:styleId="45">
    <w:name w:val="星耀附件二级标题"/>
    <w:basedOn w:val="46"/>
    <w:qFormat/>
    <w:uiPriority w:val="8"/>
    <w:rPr>
      <w:rFonts w:ascii="宋体" w:hAnsi="宋体" w:eastAsia="宋体"/>
    </w:rPr>
  </w:style>
  <w:style w:type="paragraph" w:customStyle="1" w:styleId="46">
    <w:name w:val="星耀附件一级标题"/>
    <w:basedOn w:val="47"/>
    <w:next w:val="48"/>
    <w:qFormat/>
    <w:uiPriority w:val="6"/>
    <w:pPr>
      <w:ind w:firstLine="200" w:firstLineChars="200"/>
      <w:jc w:val="left"/>
    </w:pPr>
    <w:rPr>
      <w:rFonts w:cs="宋体"/>
      <w:sz w:val="28"/>
    </w:rPr>
  </w:style>
  <w:style w:type="paragraph" w:customStyle="1" w:styleId="47">
    <w:name w:val="星耀附件报告名"/>
    <w:basedOn w:val="5"/>
    <w:uiPriority w:val="9"/>
    <w:pPr>
      <w:spacing w:before="120" w:after="60"/>
      <w:ind w:firstLine="0" w:firstLineChars="0"/>
      <w:jc w:val="center"/>
    </w:pPr>
    <w:rPr>
      <w:b/>
    </w:rPr>
  </w:style>
  <w:style w:type="paragraph" w:customStyle="1" w:styleId="48">
    <w:name w:val="星耀附件正文"/>
    <w:basedOn w:val="5"/>
    <w:qFormat/>
    <w:uiPriority w:val="6"/>
    <w:rPr>
      <w:sz w:val="28"/>
    </w:rPr>
  </w:style>
  <w:style w:type="paragraph" w:customStyle="1" w:styleId="49">
    <w:name w:val="星耀附件四级标题"/>
    <w:basedOn w:val="44"/>
    <w:qFormat/>
    <w:uiPriority w:val="9"/>
    <w:pPr>
      <w:spacing w:before="0" w:after="0"/>
    </w:pPr>
  </w:style>
  <w:style w:type="paragraph" w:customStyle="1" w:styleId="50">
    <w:name w:val="星耀脚注"/>
    <w:basedOn w:val="5"/>
    <w:qFormat/>
    <w:uiPriority w:val="9"/>
    <w:pPr>
      <w:spacing w:line="400" w:lineRule="exact"/>
      <w:ind w:firstLine="0" w:firstLineChars="0"/>
    </w:pPr>
    <w:rPr>
      <w:sz w:val="18"/>
    </w:rPr>
  </w:style>
  <w:style w:type="paragraph" w:customStyle="1" w:styleId="51">
    <w:name w:val="星耀封面项目信息"/>
    <w:basedOn w:val="1"/>
    <w:uiPriority w:val="0"/>
    <w:pPr>
      <w:spacing w:before="120"/>
      <w:ind w:left="800" w:leftChars="800"/>
      <w:jc w:val="left"/>
    </w:pPr>
    <w:rPr>
      <w:rFonts w:ascii="Times New Roman" w:hAnsi="Times New Roman" w:eastAsia="仿宋_GB2312"/>
      <w:kern w:val="0"/>
      <w:sz w:val="32"/>
      <w:szCs w:val="28"/>
      <w:lang w:val="zh-CN"/>
    </w:rPr>
  </w:style>
  <w:style w:type="paragraph" w:customStyle="1" w:styleId="52">
    <w:name w:val="星耀封面标题"/>
    <w:basedOn w:val="1"/>
    <w:next w:val="51"/>
    <w:qFormat/>
    <w:uiPriority w:val="0"/>
    <w:pPr>
      <w:jc w:val="center"/>
    </w:pPr>
    <w:rPr>
      <w:rFonts w:ascii="Times New Roman" w:hAnsi="Times New Roman" w:eastAsia="黑体"/>
      <w:snapToGrid w:val="0"/>
      <w:sz w:val="48"/>
      <w:szCs w:val="24"/>
    </w:rPr>
  </w:style>
  <w:style w:type="paragraph" w:customStyle="1" w:styleId="53">
    <w:name w:val="TOC 标题1"/>
    <w:basedOn w:val="2"/>
    <w:next w:val="1"/>
    <w:unhideWhenUsed/>
    <w:qFormat/>
    <w:uiPriority w:val="39"/>
    <w:pPr>
      <w:widowControl/>
      <w:numPr>
        <w:numId w:val="0"/>
      </w:numPr>
      <w:spacing w:before="240" w:after="0" w:line="259" w:lineRule="auto"/>
      <w:outlineLvl w:val="9"/>
    </w:pPr>
    <w:rPr>
      <w:rFonts w:ascii="等线 Light" w:hAnsi="等线 Light" w:eastAsia="等线 Light"/>
      <w:b/>
      <w:bCs w:val="0"/>
      <w:color w:val="2F5496"/>
      <w:kern w:val="0"/>
      <w:szCs w:val="32"/>
    </w:rPr>
  </w:style>
  <w:style w:type="paragraph" w:customStyle="1" w:styleId="54">
    <w:name w:val="星耀评价小组人员名单"/>
    <w:basedOn w:val="1"/>
    <w:qFormat/>
    <w:uiPriority w:val="0"/>
    <w:pPr>
      <w:jc w:val="left"/>
    </w:pPr>
    <w:rPr>
      <w:rFonts w:eastAsia="仿宋_GB2312"/>
      <w:sz w:val="32"/>
    </w:rPr>
  </w:style>
  <w:style w:type="paragraph" w:customStyle="1" w:styleId="55">
    <w:name w:val="星耀备注类"/>
    <w:basedOn w:val="5"/>
    <w:qFormat/>
    <w:uiPriority w:val="5"/>
    <w:pPr>
      <w:spacing w:line="240" w:lineRule="auto"/>
      <w:jc w:val="left"/>
    </w:pPr>
    <w:rPr>
      <w:rFonts w:cs="宋体"/>
      <w:sz w:val="21"/>
    </w:rPr>
  </w:style>
  <w:style w:type="paragraph" w:customStyle="1" w:styleId="56">
    <w:name w:val="星耀附件标题"/>
    <w:basedOn w:val="5"/>
    <w:qFormat/>
    <w:uiPriority w:val="6"/>
    <w:pPr>
      <w:numPr>
        <w:ilvl w:val="5"/>
        <w:numId w:val="1"/>
      </w:numPr>
      <w:spacing w:before="120" w:after="60" w:line="240" w:lineRule="auto"/>
      <w:ind w:firstLineChars="0"/>
      <w:outlineLvl w:val="0"/>
    </w:pPr>
    <w:rPr>
      <w:rFonts w:eastAsia="黑体"/>
      <w:b/>
    </w:rPr>
  </w:style>
  <w:style w:type="paragraph" w:customStyle="1" w:styleId="57">
    <w:name w:val="星耀目录标题"/>
    <w:basedOn w:val="52"/>
    <w:qFormat/>
    <w:uiPriority w:val="1"/>
  </w:style>
  <w:style w:type="table" w:customStyle="1" w:styleId="58">
    <w:name w:val="无格式表格 11"/>
    <w:basedOn w:val="20"/>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Layout w:type="fixed"/>
    </w:tblPr>
    <w:tblStylePr w:type="firstRow">
      <w:rPr>
        <w:b/>
        <w:bCs/>
      </w:rPr>
    </w:tblStylePr>
    <w:tblStylePr w:type="lastRow">
      <w:rPr>
        <w:b/>
        <w:bCs/>
      </w:rPr>
      <w:tcPr>
        <w:tcBorders>
          <w:top w:val="double" w:color="BEBEBE"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59">
    <w:name w:val="网格型浅色1"/>
    <w:basedOn w:val="20"/>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6143;&#32768;-2021\01-&#26684;&#24335;&#27169;&#29256;-2021.3.2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01-格式模版-2021.3.21</Template>
  <Pages>11</Pages>
  <Words>1000</Words>
  <Characters>5704</Characters>
  <Lines>47</Lines>
  <Paragraphs>13</Paragraphs>
  <TotalTime>13</TotalTime>
  <ScaleCrop>false</ScaleCrop>
  <LinksUpToDate>false</LinksUpToDate>
  <CharactersWithSpaces>6691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2021-11-30T05:33:00Z</dcterms:created>
  <dc:creator>wjd</dc:creator>
  <cp:lastModifiedBy>刘强1</cp:lastModifiedBy>
  <dcterms:modified xsi:type="dcterms:W3CDTF">2021-12-14T09:19:26Z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