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pageBreakBefore w:val="0"/>
        <w:kinsoku/>
        <w:wordWrap/>
        <w:overflowPunct/>
        <w:topLinePunct w:val="0"/>
        <w:autoSpaceDE/>
        <w:autoSpaceDN/>
        <w:bidi w:val="0"/>
        <w:spacing w:line="560" w:lineRule="exact"/>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方正小标宋简体" w:hAnsi="方正小标宋简体" w:eastAsia="方正小标宋简体" w:cs="方正小标宋简体"/>
          <w:kern w:val="2"/>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方正小标宋简体" w:hAnsi="方正小标宋简体" w:eastAsia="方正小标宋简体" w:cs="方正小标宋简体"/>
          <w:kern w:val="2"/>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方正小标宋简体" w:hAnsi="方正小标宋简体" w:eastAsia="方正小标宋简体" w:cs="方正小标宋简体"/>
          <w:kern w:val="2"/>
          <w:sz w:val="44"/>
          <w:szCs w:val="44"/>
          <w:lang w:val="en-US" w:eastAsia="zh-CN"/>
        </w:rPr>
      </w:pPr>
      <w:r>
        <w:rPr>
          <w:rFonts w:hint="eastAsia" w:ascii="方正小标宋简体" w:hAnsi="方正小标宋简体" w:eastAsia="方正小标宋简体" w:cs="方正小标宋简体"/>
          <w:kern w:val="2"/>
          <w:sz w:val="44"/>
          <w:szCs w:val="44"/>
          <w:lang w:val="en-US" w:eastAsia="zh-CN"/>
        </w:rPr>
        <w:t>龙华区2020年度体育彩票公益金</w:t>
      </w:r>
    </w:p>
    <w:p>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default" w:ascii="方正小标宋简体" w:hAnsi="方正小标宋简体" w:eastAsia="方正小标宋简体" w:cs="方正小标宋简体"/>
          <w:kern w:val="2"/>
          <w:sz w:val="44"/>
          <w:szCs w:val="44"/>
          <w:lang w:val="en-US" w:eastAsia="zh-CN"/>
        </w:rPr>
      </w:pPr>
      <w:r>
        <w:rPr>
          <w:rFonts w:hint="eastAsia" w:ascii="方正小标宋简体" w:hAnsi="方正小标宋简体" w:eastAsia="方正小标宋简体" w:cs="方正小标宋简体"/>
          <w:kern w:val="2"/>
          <w:sz w:val="44"/>
          <w:szCs w:val="44"/>
          <w:lang w:val="en-US" w:eastAsia="zh-CN"/>
        </w:rPr>
        <w:t>绩效评价报告</w:t>
      </w:r>
    </w:p>
    <w:p>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方正小标宋简体" w:hAnsi="方正小标宋简体" w:eastAsia="方正小标宋简体" w:cs="方正小标宋简体"/>
          <w:kern w:val="2"/>
          <w:sz w:val="44"/>
          <w:szCs w:val="44"/>
          <w:lang w:val="en-US" w:eastAsia="zh-CN"/>
        </w:rPr>
      </w:pPr>
    </w:p>
    <w:p>
      <w:pPr>
        <w:pageBreakBefore w:val="0"/>
        <w:widowControl w:val="0"/>
        <w:kinsoku/>
        <w:wordWrap/>
        <w:overflowPunct/>
        <w:topLinePunct w:val="0"/>
        <w:autoSpaceDE/>
        <w:autoSpaceDN/>
        <w:bidi w:val="0"/>
        <w:adjustRightInd/>
        <w:snapToGrid/>
        <w:spacing w:after="0" w:line="560" w:lineRule="exact"/>
        <w:ind w:firstLine="960" w:firstLineChars="300"/>
        <w:jc w:val="both"/>
        <w:rPr>
          <w:rFonts w:hint="eastAsia" w:ascii="黑体" w:hAnsi="黑体" w:eastAsia="黑体" w:cs="黑体"/>
          <w:kern w:val="2"/>
          <w:sz w:val="32"/>
          <w:szCs w:val="32"/>
        </w:rPr>
      </w:pPr>
    </w:p>
    <w:p>
      <w:pPr>
        <w:pageBreakBefore w:val="0"/>
        <w:widowControl w:val="0"/>
        <w:kinsoku/>
        <w:wordWrap/>
        <w:overflowPunct/>
        <w:topLinePunct w:val="0"/>
        <w:autoSpaceDE/>
        <w:autoSpaceDN/>
        <w:bidi w:val="0"/>
        <w:adjustRightInd/>
        <w:snapToGrid/>
        <w:spacing w:after="0" w:line="560" w:lineRule="exact"/>
        <w:ind w:firstLine="960" w:firstLineChars="300"/>
        <w:jc w:val="both"/>
        <w:rPr>
          <w:rFonts w:hint="eastAsia" w:ascii="黑体" w:hAnsi="黑体" w:eastAsia="黑体" w:cs="黑体"/>
          <w:kern w:val="2"/>
          <w:sz w:val="32"/>
          <w:szCs w:val="32"/>
        </w:rPr>
      </w:pPr>
    </w:p>
    <w:p>
      <w:pPr>
        <w:pageBreakBefore w:val="0"/>
        <w:widowControl w:val="0"/>
        <w:kinsoku/>
        <w:wordWrap/>
        <w:overflowPunct/>
        <w:topLinePunct w:val="0"/>
        <w:autoSpaceDE/>
        <w:autoSpaceDN/>
        <w:bidi w:val="0"/>
        <w:adjustRightInd/>
        <w:snapToGrid/>
        <w:spacing w:after="0" w:line="560" w:lineRule="exact"/>
        <w:ind w:firstLine="960" w:firstLineChars="300"/>
        <w:jc w:val="both"/>
        <w:rPr>
          <w:rFonts w:hint="eastAsia" w:ascii="黑体" w:hAnsi="黑体" w:eastAsia="黑体" w:cs="黑体"/>
          <w:kern w:val="2"/>
          <w:sz w:val="32"/>
          <w:szCs w:val="32"/>
        </w:rPr>
      </w:pPr>
    </w:p>
    <w:p>
      <w:pPr>
        <w:pageBreakBefore w:val="0"/>
        <w:widowControl w:val="0"/>
        <w:kinsoku/>
        <w:wordWrap/>
        <w:overflowPunct/>
        <w:topLinePunct w:val="0"/>
        <w:autoSpaceDE/>
        <w:autoSpaceDN/>
        <w:bidi w:val="0"/>
        <w:adjustRightInd/>
        <w:snapToGrid/>
        <w:spacing w:after="0" w:line="560" w:lineRule="exact"/>
        <w:ind w:firstLine="960" w:firstLineChars="300"/>
        <w:jc w:val="both"/>
        <w:rPr>
          <w:rFonts w:hint="eastAsia" w:ascii="黑体" w:hAnsi="黑体" w:eastAsia="黑体" w:cs="黑体"/>
          <w:kern w:val="2"/>
          <w:sz w:val="32"/>
          <w:szCs w:val="32"/>
        </w:rPr>
      </w:pPr>
    </w:p>
    <w:p>
      <w:pPr>
        <w:pageBreakBefore w:val="0"/>
        <w:widowControl w:val="0"/>
        <w:kinsoku/>
        <w:wordWrap/>
        <w:overflowPunct/>
        <w:topLinePunct w:val="0"/>
        <w:autoSpaceDE/>
        <w:autoSpaceDN/>
        <w:bidi w:val="0"/>
        <w:adjustRightInd/>
        <w:snapToGrid/>
        <w:spacing w:after="0" w:line="560" w:lineRule="exact"/>
        <w:ind w:firstLine="960" w:firstLineChars="300"/>
        <w:jc w:val="both"/>
        <w:rPr>
          <w:rFonts w:hint="eastAsia" w:ascii="黑体" w:hAnsi="黑体" w:eastAsia="黑体" w:cs="黑体"/>
          <w:kern w:val="2"/>
          <w:sz w:val="32"/>
          <w:szCs w:val="32"/>
        </w:rPr>
      </w:pPr>
    </w:p>
    <w:p>
      <w:pPr>
        <w:pageBreakBefore w:val="0"/>
        <w:widowControl w:val="0"/>
        <w:kinsoku/>
        <w:wordWrap/>
        <w:overflowPunct/>
        <w:topLinePunct w:val="0"/>
        <w:autoSpaceDE/>
        <w:autoSpaceDN/>
        <w:bidi w:val="0"/>
        <w:adjustRightInd/>
        <w:snapToGrid/>
        <w:spacing w:after="0" w:line="560" w:lineRule="exact"/>
        <w:ind w:firstLine="960" w:firstLineChars="300"/>
        <w:jc w:val="both"/>
        <w:rPr>
          <w:rFonts w:hint="eastAsia" w:ascii="黑体" w:hAnsi="黑体" w:eastAsia="黑体" w:cs="黑体"/>
          <w:kern w:val="2"/>
          <w:sz w:val="32"/>
          <w:szCs w:val="32"/>
        </w:rPr>
      </w:pPr>
    </w:p>
    <w:p>
      <w:pPr>
        <w:pageBreakBefore w:val="0"/>
        <w:widowControl w:val="0"/>
        <w:kinsoku/>
        <w:wordWrap/>
        <w:overflowPunct/>
        <w:topLinePunct w:val="0"/>
        <w:autoSpaceDE/>
        <w:autoSpaceDN/>
        <w:bidi w:val="0"/>
        <w:adjustRightInd/>
        <w:snapToGrid/>
        <w:spacing w:after="0" w:line="560" w:lineRule="exact"/>
        <w:ind w:firstLine="960" w:firstLineChars="300"/>
        <w:jc w:val="both"/>
        <w:rPr>
          <w:rFonts w:hint="eastAsia" w:ascii="黑体" w:hAnsi="黑体" w:eastAsia="黑体" w:cs="黑体"/>
          <w:kern w:val="2"/>
          <w:sz w:val="32"/>
          <w:szCs w:val="32"/>
        </w:rPr>
      </w:pPr>
    </w:p>
    <w:p>
      <w:pPr>
        <w:pageBreakBefore w:val="0"/>
        <w:widowControl w:val="0"/>
        <w:kinsoku/>
        <w:wordWrap/>
        <w:overflowPunct/>
        <w:topLinePunct w:val="0"/>
        <w:autoSpaceDE/>
        <w:autoSpaceDN/>
        <w:bidi w:val="0"/>
        <w:adjustRightInd/>
        <w:snapToGrid/>
        <w:spacing w:after="0" w:line="560" w:lineRule="exact"/>
        <w:ind w:firstLine="960" w:firstLineChars="300"/>
        <w:jc w:val="both"/>
        <w:rPr>
          <w:rFonts w:hint="eastAsia" w:ascii="黑体" w:hAnsi="黑体" w:eastAsia="黑体" w:cs="黑体"/>
          <w:kern w:val="2"/>
          <w:sz w:val="32"/>
          <w:szCs w:val="32"/>
        </w:rPr>
      </w:pPr>
    </w:p>
    <w:p>
      <w:pPr>
        <w:pageBreakBefore w:val="0"/>
        <w:widowControl w:val="0"/>
        <w:kinsoku/>
        <w:wordWrap/>
        <w:overflowPunct/>
        <w:topLinePunct w:val="0"/>
        <w:autoSpaceDE/>
        <w:autoSpaceDN/>
        <w:bidi w:val="0"/>
        <w:adjustRightInd/>
        <w:snapToGrid/>
        <w:spacing w:after="0" w:line="560" w:lineRule="exact"/>
        <w:ind w:firstLine="960" w:firstLineChars="300"/>
        <w:jc w:val="both"/>
        <w:rPr>
          <w:rFonts w:hint="eastAsia" w:ascii="黑体" w:hAnsi="黑体" w:eastAsia="黑体" w:cs="黑体"/>
          <w:kern w:val="2"/>
          <w:sz w:val="32"/>
          <w:szCs w:val="32"/>
        </w:rPr>
      </w:pPr>
    </w:p>
    <w:p>
      <w:pPr>
        <w:pageBreakBefore w:val="0"/>
        <w:widowControl w:val="0"/>
        <w:kinsoku/>
        <w:wordWrap/>
        <w:overflowPunct/>
        <w:topLinePunct w:val="0"/>
        <w:autoSpaceDE/>
        <w:autoSpaceDN/>
        <w:bidi w:val="0"/>
        <w:adjustRightInd/>
        <w:snapToGrid/>
        <w:spacing w:after="0" w:line="560" w:lineRule="exact"/>
        <w:ind w:firstLine="960" w:firstLineChars="300"/>
        <w:jc w:val="both"/>
        <w:rPr>
          <w:rFonts w:hint="eastAsia" w:ascii="黑体" w:hAnsi="黑体" w:eastAsia="黑体" w:cs="黑体"/>
          <w:kern w:val="2"/>
          <w:sz w:val="32"/>
          <w:szCs w:val="32"/>
        </w:rPr>
      </w:pPr>
    </w:p>
    <w:p>
      <w:pPr>
        <w:pageBreakBefore w:val="0"/>
        <w:widowControl w:val="0"/>
        <w:kinsoku/>
        <w:wordWrap/>
        <w:overflowPunct/>
        <w:topLinePunct w:val="0"/>
        <w:autoSpaceDE/>
        <w:autoSpaceDN/>
        <w:bidi w:val="0"/>
        <w:adjustRightInd/>
        <w:snapToGrid/>
        <w:spacing w:after="0" w:line="560" w:lineRule="exact"/>
        <w:ind w:firstLine="960" w:firstLineChars="300"/>
        <w:jc w:val="both"/>
        <w:rPr>
          <w:rFonts w:hint="eastAsia" w:ascii="黑体" w:hAnsi="黑体" w:eastAsia="黑体" w:cs="黑体"/>
          <w:kern w:val="2"/>
          <w:sz w:val="32"/>
          <w:szCs w:val="32"/>
        </w:rPr>
      </w:pPr>
    </w:p>
    <w:p>
      <w:pPr>
        <w:pageBreakBefore w:val="0"/>
        <w:widowControl w:val="0"/>
        <w:kinsoku/>
        <w:wordWrap/>
        <w:overflowPunct/>
        <w:topLinePunct w:val="0"/>
        <w:autoSpaceDE/>
        <w:autoSpaceDN/>
        <w:bidi w:val="0"/>
        <w:adjustRightInd/>
        <w:snapToGrid/>
        <w:spacing w:after="0" w:line="560" w:lineRule="exact"/>
        <w:jc w:val="both"/>
        <w:outlineLvl w:val="9"/>
        <w:rPr>
          <w:rFonts w:hint="eastAsia" w:ascii="仿宋_GB2312" w:hAnsi="Times New Roman" w:eastAsia="仿宋_GB2312" w:cs="Times New Roman"/>
          <w:kern w:val="2"/>
          <w:sz w:val="30"/>
          <w:szCs w:val="24"/>
          <w:lang w:eastAsia="zh-CN"/>
        </w:rPr>
      </w:pPr>
    </w:p>
    <w:p>
      <w:pPr>
        <w:pageBreakBefore w:val="0"/>
        <w:widowControl w:val="0"/>
        <w:kinsoku/>
        <w:wordWrap/>
        <w:overflowPunct/>
        <w:topLinePunct w:val="0"/>
        <w:autoSpaceDE/>
        <w:autoSpaceDN/>
        <w:bidi w:val="0"/>
        <w:adjustRightInd/>
        <w:snapToGrid/>
        <w:spacing w:after="0" w:line="560" w:lineRule="exact"/>
        <w:jc w:val="center"/>
        <w:outlineLvl w:val="0"/>
        <w:rPr>
          <w:rFonts w:hint="eastAsia" w:ascii="方正小标宋简体" w:hAnsi="方正小标宋简体" w:eastAsia="方正小标宋简体" w:cs="方正小标宋简体"/>
          <w:kern w:val="2"/>
          <w:sz w:val="32"/>
          <w:szCs w:val="32"/>
          <w:lang w:val="en-US" w:eastAsia="zh-CN"/>
        </w:rPr>
      </w:pPr>
      <w:r>
        <w:rPr>
          <w:rFonts w:hint="eastAsia" w:ascii="方正小标宋简体" w:hAnsi="方正小标宋简体" w:eastAsia="方正小标宋简体" w:cs="方正小标宋简体"/>
          <w:kern w:val="2"/>
          <w:sz w:val="32"/>
          <w:szCs w:val="32"/>
          <w:lang w:val="en-US" w:eastAsia="zh-CN"/>
        </w:rPr>
        <w:t>深圳市龙华区财政局</w:t>
      </w:r>
    </w:p>
    <w:p>
      <w:pPr>
        <w:pageBreakBefore w:val="0"/>
        <w:widowControl w:val="0"/>
        <w:kinsoku/>
        <w:wordWrap/>
        <w:overflowPunct/>
        <w:topLinePunct w:val="0"/>
        <w:autoSpaceDE/>
        <w:autoSpaceDN/>
        <w:bidi w:val="0"/>
        <w:adjustRightInd/>
        <w:snapToGrid/>
        <w:spacing w:after="0" w:line="560" w:lineRule="exact"/>
        <w:ind w:firstLine="960" w:firstLineChars="300"/>
        <w:jc w:val="both"/>
        <w:rPr>
          <w:rFonts w:hint="eastAsia" w:ascii="黑体" w:hAnsi="黑体" w:eastAsia="黑体" w:cs="黑体"/>
          <w:kern w:val="2"/>
          <w:sz w:val="32"/>
          <w:szCs w:val="32"/>
        </w:rPr>
      </w:pPr>
    </w:p>
    <w:p>
      <w:pPr>
        <w:pageBreakBefore w:val="0"/>
        <w:widowControl w:val="0"/>
        <w:kinsoku/>
        <w:wordWrap/>
        <w:overflowPunct/>
        <w:topLinePunct w:val="0"/>
        <w:autoSpaceDE/>
        <w:autoSpaceDN/>
        <w:bidi w:val="0"/>
        <w:adjustRightInd/>
        <w:snapToGrid/>
        <w:spacing w:after="0" w:line="560" w:lineRule="exact"/>
        <w:ind w:firstLine="600" w:firstLineChars="200"/>
        <w:jc w:val="both"/>
        <w:outlineLvl w:val="9"/>
        <w:rPr>
          <w:rFonts w:hint="eastAsia" w:ascii="仿宋_GB2312" w:hAnsi="Times New Roman" w:eastAsia="仿宋_GB2312" w:cs="Times New Roman"/>
          <w:kern w:val="2"/>
          <w:sz w:val="30"/>
          <w:szCs w:val="24"/>
          <w:lang w:eastAsia="zh-CN"/>
        </w:rPr>
        <w:sectPr>
          <w:headerReference r:id="rId5" w:type="default"/>
          <w:pgSz w:w="11907" w:h="16840"/>
          <w:pgMar w:top="2098" w:right="1474" w:bottom="1474" w:left="1587" w:header="850" w:footer="992" w:gutter="0"/>
          <w:pgNumType w:fmt="numberInDash" w:start="1"/>
          <w:cols w:space="0" w:num="1"/>
          <w:rtlGutter w:val="0"/>
          <w:docGrid w:type="linesAndChars" w:linePitch="312" w:charSpace="0"/>
        </w:sectPr>
      </w:pP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outlineLvl w:val="0"/>
        <w:rPr>
          <w:rFonts w:hint="default" w:ascii="仿宋_GB2312" w:hAnsi="Times New Roman" w:eastAsia="仿宋_GB2312" w:cs="Times New Roman"/>
          <w:kern w:val="2"/>
          <w:sz w:val="30"/>
          <w:szCs w:val="24"/>
          <w:lang w:val="en-US" w:eastAsia="zh-CN" w:bidi="ar-SA"/>
        </w:rPr>
      </w:pPr>
      <w:bookmarkStart w:id="0" w:name="_Toc6355"/>
      <w:bookmarkStart w:id="1" w:name="_Toc28022"/>
      <w:bookmarkStart w:id="2" w:name="_Toc7871"/>
      <w:bookmarkStart w:id="3" w:name="_Toc20228"/>
      <w:bookmarkStart w:id="4" w:name="_Toc14279"/>
      <w:bookmarkStart w:id="5" w:name="_Toc24920"/>
      <w:bookmarkStart w:id="6" w:name="_Toc17300"/>
      <w:bookmarkStart w:id="7" w:name="_Toc13873"/>
      <w:bookmarkStart w:id="8" w:name="_Toc31675"/>
      <w:bookmarkStart w:id="9" w:name="_Toc5495"/>
      <w:bookmarkStart w:id="10" w:name="_Toc17276"/>
      <w:bookmarkStart w:id="11" w:name="_Toc14147"/>
      <w:bookmarkStart w:id="12" w:name="_Toc11995"/>
      <w:bookmarkStart w:id="13" w:name="_Toc12790"/>
      <w:r>
        <w:rPr>
          <w:rFonts w:hint="eastAsia" w:ascii="仿宋_GB2312" w:eastAsia="仿宋_GB2312" w:cs="宋体" w:hAnsiTheme="minorHAnsi"/>
          <w:kern w:val="2"/>
          <w:sz w:val="32"/>
          <w:szCs w:val="32"/>
          <w:lang w:val="en-US" w:eastAsia="zh-CN" w:bidi="ar-SA"/>
        </w:rPr>
        <w:t>为贯彻落实《中共中央国务院关于全面实施预算绩效管理的意见》（中发〔2018〕34号）文件精神，落实预算绩效管理主体责任，综合评价深圳市龙华区2020年度体育彩票公益金使用绩效，龙华区财政局委托深圳天大联合会计师事务所（普通合伙）组建绩效评价小组（以下简称“评价小组”），对龙华区2020年度体育彩票公益金开展重点绩效评价，涉及政府性基金</w:t>
      </w:r>
      <w:r>
        <w:rPr>
          <w:rFonts w:hint="eastAsia" w:ascii="仿宋_GB2312" w:eastAsia="仿宋_GB2312" w:cs="宋体" w:hAnsiTheme="minorHAnsi"/>
          <w:kern w:val="2"/>
          <w:sz w:val="32"/>
          <w:szCs w:val="32"/>
          <w:highlight w:val="none"/>
          <w:lang w:val="en-US" w:eastAsia="zh-CN" w:bidi="ar-SA"/>
        </w:rPr>
        <w:t>1,796.50万元</w:t>
      </w:r>
      <w:r>
        <w:rPr>
          <w:rFonts w:hint="eastAsia" w:ascii="仿宋_GB2312" w:eastAsia="仿宋_GB2312" w:cs="宋体" w:hAnsiTheme="minorHAnsi"/>
          <w:kern w:val="2"/>
          <w:sz w:val="32"/>
          <w:szCs w:val="32"/>
          <w:lang w:val="en-US" w:eastAsia="zh-CN" w:bidi="ar-SA"/>
        </w:rPr>
        <w:t>，具体情况报告如下：</w:t>
      </w:r>
      <w:bookmarkEnd w:id="0"/>
      <w:bookmarkEnd w:id="1"/>
      <w:bookmarkEnd w:id="2"/>
      <w:bookmarkEnd w:id="3"/>
      <w:bookmarkEnd w:id="4"/>
      <w:bookmarkEnd w:id="5"/>
      <w:bookmarkEnd w:id="6"/>
      <w:bookmarkEnd w:id="7"/>
      <w:bookmarkEnd w:id="8"/>
      <w:bookmarkEnd w:id="9"/>
      <w:bookmarkEnd w:id="10"/>
      <w:bookmarkEnd w:id="11"/>
      <w:bookmarkEnd w:id="12"/>
      <w:bookmarkEnd w:id="13"/>
    </w:p>
    <w:p>
      <w:pPr>
        <w:keepNext w:val="0"/>
        <w:keepLines w:val="0"/>
        <w:pageBreakBefore w:val="0"/>
        <w:widowControl w:val="0"/>
        <w:numPr>
          <w:ilvl w:val="0"/>
          <w:numId w:val="1"/>
        </w:numPr>
        <w:kinsoku/>
        <w:wordWrap/>
        <w:overflowPunct/>
        <w:topLinePunct w:val="0"/>
        <w:autoSpaceDE/>
        <w:autoSpaceDN/>
        <w:bidi w:val="0"/>
        <w:adjustRightInd/>
        <w:snapToGrid/>
        <w:spacing w:after="0" w:line="560" w:lineRule="exact"/>
        <w:ind w:firstLine="640"/>
        <w:jc w:val="both"/>
        <w:textAlignment w:val="auto"/>
        <w:outlineLvl w:val="0"/>
        <w:rPr>
          <w:rFonts w:hint="eastAsia" w:ascii="黑体" w:hAnsi="黑体" w:eastAsia="黑体" w:cs="黑体"/>
          <w:kern w:val="2"/>
          <w:sz w:val="32"/>
          <w:szCs w:val="32"/>
          <w:lang w:val="en-US" w:eastAsia="zh-CN"/>
        </w:rPr>
      </w:pPr>
      <w:bookmarkStart w:id="14" w:name="_Toc18336"/>
      <w:r>
        <w:rPr>
          <w:rFonts w:hint="eastAsia" w:ascii="黑体" w:hAnsi="黑体" w:eastAsia="黑体" w:cs="黑体"/>
          <w:kern w:val="2"/>
          <w:sz w:val="32"/>
          <w:szCs w:val="32"/>
          <w:lang w:val="en-US" w:eastAsia="zh-CN"/>
        </w:rPr>
        <w:t>基本情况</w:t>
      </w:r>
      <w:bookmarkEnd w:id="14"/>
    </w:p>
    <w:p>
      <w:pPr>
        <w:pStyle w:val="16"/>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527" w:firstLine="640" w:firstLineChars="200"/>
        <w:textAlignment w:val="auto"/>
        <w:outlineLvl w:val="1"/>
        <w:rPr>
          <w:rFonts w:hint="eastAsia" w:ascii="楷体" w:hAnsi="楷体" w:eastAsia="楷体" w:cs="楷体"/>
          <w:b/>
          <w:bCs/>
          <w:kern w:val="2"/>
          <w:sz w:val="32"/>
          <w:szCs w:val="32"/>
          <w:lang w:val="en-US" w:eastAsia="zh-CN" w:bidi="ar-SA"/>
        </w:rPr>
      </w:pPr>
      <w:bookmarkStart w:id="15" w:name="_Toc19056"/>
      <w:r>
        <w:rPr>
          <w:rFonts w:hint="eastAsia" w:ascii="楷体" w:hAnsi="楷体" w:eastAsia="楷体" w:cs="楷体"/>
          <w:b/>
          <w:bCs/>
          <w:kern w:val="2"/>
          <w:sz w:val="32"/>
          <w:szCs w:val="32"/>
          <w:lang w:val="en-US" w:eastAsia="zh-CN" w:bidi="ar-SA"/>
        </w:rPr>
        <w:t>政策背景及主要内容</w:t>
      </w:r>
      <w:bookmarkEnd w:id="15"/>
    </w:p>
    <w:p>
      <w:pPr>
        <w:pStyle w:val="1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527" w:rightChars="0" w:firstLine="640" w:firstLineChars="200"/>
        <w:textAlignment w:val="auto"/>
        <w:outlineLvl w:val="2"/>
        <w:rPr>
          <w:rFonts w:hint="default" w:ascii="仿宋_GB2312" w:eastAsia="仿宋_GB2312" w:cs="宋体" w:hAnsiTheme="minorHAnsi"/>
          <w:b/>
          <w:bCs/>
          <w:kern w:val="2"/>
          <w:sz w:val="32"/>
          <w:szCs w:val="32"/>
          <w:lang w:val="en-US" w:eastAsia="zh-CN" w:bidi="ar-SA"/>
        </w:rPr>
      </w:pPr>
      <w:bookmarkStart w:id="16" w:name="_Toc11701"/>
      <w:r>
        <w:rPr>
          <w:rFonts w:hint="eastAsia" w:ascii="仿宋_GB2312" w:eastAsia="仿宋_GB2312" w:cs="宋体" w:hAnsiTheme="minorHAnsi"/>
          <w:b/>
          <w:bCs/>
          <w:kern w:val="2"/>
          <w:sz w:val="32"/>
          <w:szCs w:val="32"/>
          <w:lang w:val="en-US" w:eastAsia="zh-CN" w:bidi="ar-SA"/>
        </w:rPr>
        <w:t>1.政策背景</w:t>
      </w:r>
      <w:bookmarkEnd w:id="16"/>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151" w:rightChars="0" w:firstLine="640" w:firstLineChars="200"/>
        <w:jc w:val="both"/>
        <w:textAlignment w:val="auto"/>
        <w:rPr>
          <w:rFonts w:hint="eastAsia" w:ascii="仿宋_GB2312" w:eastAsia="仿宋_GB2312" w:cs="宋体" w:hAnsiTheme="minorHAnsi"/>
          <w:kern w:val="2"/>
          <w:sz w:val="32"/>
          <w:szCs w:val="32"/>
          <w:lang w:val="en-US" w:eastAsia="zh-CN" w:bidi="ar-SA"/>
        </w:rPr>
      </w:pPr>
      <w:r>
        <w:rPr>
          <w:rFonts w:hint="eastAsia" w:ascii="仿宋_GB2312" w:eastAsia="仿宋_GB2312" w:cs="宋体" w:hAnsiTheme="minorHAnsi"/>
          <w:kern w:val="2"/>
          <w:sz w:val="32"/>
          <w:szCs w:val="32"/>
          <w:lang w:val="en-US" w:eastAsia="zh-CN" w:bidi="ar-SA"/>
        </w:rPr>
        <w:t>2012年3月2日</w:t>
      </w:r>
      <w:r>
        <w:rPr>
          <w:rFonts w:hint="default" w:ascii="仿宋_GB2312" w:eastAsia="仿宋_GB2312" w:cs="宋体" w:hAnsiTheme="minorHAnsi"/>
          <w:kern w:val="2"/>
          <w:sz w:val="32"/>
          <w:szCs w:val="32"/>
          <w:lang w:val="en-US" w:eastAsia="zh-CN" w:bidi="ar-SA"/>
        </w:rPr>
        <w:t>财政部</w:t>
      </w:r>
      <w:r>
        <w:rPr>
          <w:rFonts w:hint="eastAsia" w:ascii="仿宋_GB2312" w:eastAsia="仿宋_GB2312" w:cs="宋体" w:hAnsiTheme="minorHAnsi"/>
          <w:kern w:val="2"/>
          <w:sz w:val="32"/>
          <w:szCs w:val="32"/>
          <w:lang w:val="en-US" w:eastAsia="zh-CN" w:bidi="ar-SA"/>
        </w:rPr>
        <w:t>发布《彩票公益金管理办法》（财综〔2012〕15号），提出“彩票公益金是按照规定比例从彩票发行销售收入中提取的，专项用于社会福利、体育等社会公益事业的资金”“</w:t>
      </w:r>
      <w:r>
        <w:rPr>
          <w:rFonts w:hint="default" w:ascii="仿宋_GB2312" w:eastAsia="仿宋_GB2312" w:cs="宋体" w:hAnsiTheme="minorHAnsi"/>
          <w:kern w:val="2"/>
          <w:sz w:val="32"/>
          <w:szCs w:val="32"/>
          <w:lang w:val="en-US" w:eastAsia="zh-CN" w:bidi="ar-SA"/>
        </w:rPr>
        <w:t>彩票公益金纳入政府性基金预算管理，专款专用，结余结转下年继续使用</w:t>
      </w:r>
      <w:r>
        <w:rPr>
          <w:rFonts w:hint="eastAsia" w:ascii="仿宋_GB2312" w:eastAsia="仿宋_GB2312" w:cs="宋体" w:hAnsiTheme="minorHAnsi"/>
          <w:kern w:val="2"/>
          <w:sz w:val="32"/>
          <w:szCs w:val="32"/>
          <w:lang w:val="en-US" w:eastAsia="zh-CN" w:bidi="ar-SA"/>
        </w:rPr>
        <w:t>”，指出了彩票公益金需严格按照专款专用的原则进行使用。</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151" w:rightChars="0"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eastAsia="仿宋_GB2312" w:cs="宋体" w:hAnsiTheme="minorHAnsi"/>
          <w:kern w:val="2"/>
          <w:sz w:val="32"/>
          <w:szCs w:val="32"/>
          <w:lang w:val="en-US" w:eastAsia="zh-CN" w:bidi="ar-SA"/>
        </w:rPr>
        <w:t>2021年5月20日</w:t>
      </w:r>
      <w:r>
        <w:rPr>
          <w:rFonts w:hint="default" w:ascii="仿宋_GB2312" w:eastAsia="仿宋_GB2312" w:cs="宋体" w:hAnsiTheme="minorHAnsi"/>
          <w:kern w:val="2"/>
          <w:sz w:val="32"/>
          <w:szCs w:val="32"/>
          <w:lang w:val="en-US" w:eastAsia="zh-CN" w:bidi="ar-SA"/>
        </w:rPr>
        <w:t>财政部对《彩票公益金管理办法》（财综〔2012〕15号）进行了修订</w:t>
      </w:r>
      <w:r>
        <w:rPr>
          <w:rFonts w:hint="eastAsia" w:ascii="仿宋_GB2312" w:eastAsia="仿宋_GB2312" w:cs="宋体" w:hAnsiTheme="minorHAnsi"/>
          <w:kern w:val="2"/>
          <w:sz w:val="32"/>
          <w:szCs w:val="32"/>
          <w:lang w:val="en-US" w:eastAsia="zh-CN" w:bidi="ar-SA"/>
        </w:rPr>
        <w:t>，并发布了《彩票公益金管理办法》（财综〔2021〕18号）,提出“</w:t>
      </w:r>
      <w:r>
        <w:rPr>
          <w:rFonts w:hint="eastAsia" w:ascii="仿宋_GB2312" w:eastAsia="仿宋_GB2312"/>
          <w:sz w:val="32"/>
          <w:szCs w:val="32"/>
        </w:rPr>
        <w:t>彩票公益金</w:t>
      </w:r>
      <w:r>
        <w:rPr>
          <w:rFonts w:hint="eastAsia" w:ascii="仿宋_GB2312" w:eastAsia="仿宋_GB2312"/>
          <w:sz w:val="32"/>
          <w:szCs w:val="32"/>
          <w:lang w:eastAsia="zh-CN"/>
        </w:rPr>
        <w:t>的管理、分配和使用，应当充分体现公益属性，</w:t>
      </w:r>
      <w:r>
        <w:rPr>
          <w:rFonts w:hint="eastAsia" w:ascii="仿宋_GB2312" w:hAnsi="Calibri" w:eastAsia="仿宋_GB2312" w:cs="Times New Roman"/>
          <w:kern w:val="2"/>
          <w:sz w:val="32"/>
          <w:szCs w:val="32"/>
        </w:rPr>
        <w:t>突出支持重点</w:t>
      </w:r>
      <w:r>
        <w:rPr>
          <w:rFonts w:hint="eastAsia" w:ascii="仿宋_GB2312" w:eastAsia="仿宋_GB2312" w:cs="Times New Roman"/>
          <w:kern w:val="2"/>
          <w:sz w:val="32"/>
          <w:szCs w:val="32"/>
          <w:lang w:eastAsia="zh-CN"/>
        </w:rPr>
        <w:t>，并向欠发达地区和社会弱势群体等倾斜</w:t>
      </w:r>
      <w:r>
        <w:rPr>
          <w:rFonts w:hint="eastAsia" w:ascii="仿宋_GB2312" w:eastAsia="仿宋_GB2312" w:cs="宋体" w:hAnsiTheme="minorHAnsi"/>
          <w:kern w:val="2"/>
          <w:sz w:val="32"/>
          <w:szCs w:val="32"/>
          <w:lang w:val="en-US" w:eastAsia="zh-CN" w:bidi="ar-SA"/>
        </w:rPr>
        <w:t>”</w:t>
      </w:r>
      <w:r>
        <w:rPr>
          <w:rFonts w:hint="eastAsia" w:ascii="仿宋_GB2312" w:eastAsia="仿宋_GB2312" w:cs="宋体" w:hAnsiTheme="minorHAnsi"/>
          <w:kern w:val="2"/>
          <w:sz w:val="32"/>
          <w:szCs w:val="32"/>
          <w:highlight w:val="none"/>
          <w:lang w:val="en-US" w:eastAsia="zh-CN" w:bidi="ar-SA"/>
        </w:rPr>
        <w:t>“</w:t>
      </w:r>
      <w:r>
        <w:rPr>
          <w:rFonts w:hint="eastAsia" w:ascii="仿宋_GB2312" w:hAnsi="Times New Roman" w:eastAsia="仿宋_GB2312" w:cs="Times New Roman"/>
          <w:sz w:val="32"/>
          <w:szCs w:val="32"/>
          <w:highlight w:val="none"/>
          <w:lang w:eastAsia="zh-CN"/>
        </w:rPr>
        <w:t>为促进社会公益事业发展，保证彩票公益金项目顺利开展，彩票公益金使用单位为基金会的，可据实列支管理费</w:t>
      </w:r>
      <w:r>
        <w:rPr>
          <w:rFonts w:hint="eastAsia" w:ascii="仿宋_GB2312" w:hAnsi="Times New Roman" w:eastAsia="仿宋_GB2312" w:cs="Times New Roman"/>
          <w:sz w:val="32"/>
          <w:szCs w:val="32"/>
          <w:highlight w:val="none"/>
          <w:lang w:val="en-US" w:eastAsia="zh-CN"/>
        </w:rPr>
        <w:t>”以及</w:t>
      </w:r>
      <w:r>
        <w:rPr>
          <w:rFonts w:hint="eastAsia" w:ascii="仿宋_GB2312" w:hAnsi="Times New Roman" w:eastAsia="仿宋_GB2312" w:cs="Times New Roman"/>
          <w:sz w:val="32"/>
          <w:szCs w:val="32"/>
          <w:lang w:val="en-US" w:eastAsia="zh-CN"/>
        </w:rPr>
        <w:t>明确指出了彩票公益金禁止使用的方面。</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151" w:rightChars="0" w:firstLine="640" w:firstLineChars="200"/>
        <w:textAlignment w:val="auto"/>
        <w:rPr>
          <w:rFonts w:hint="eastAsia" w:ascii="仿宋_GB2312" w:eastAsia="仿宋_GB2312" w:cs="宋体" w:hAnsiTheme="minorHAnsi"/>
          <w:kern w:val="2"/>
          <w:sz w:val="32"/>
          <w:szCs w:val="32"/>
          <w:lang w:val="en-US" w:eastAsia="zh-CN" w:bidi="ar-SA"/>
        </w:rPr>
      </w:pPr>
      <w:r>
        <w:rPr>
          <w:rFonts w:hint="eastAsia" w:ascii="仿宋_GB2312" w:hAnsi="Times New Roman" w:eastAsia="仿宋_GB2312" w:cs="Times New Roman"/>
          <w:sz w:val="32"/>
          <w:szCs w:val="32"/>
          <w:lang w:val="en-US" w:eastAsia="zh-CN"/>
        </w:rPr>
        <w:t>相较于</w:t>
      </w:r>
      <w:r>
        <w:rPr>
          <w:rFonts w:hint="eastAsia" w:ascii="仿宋_GB2312" w:eastAsia="仿宋_GB2312" w:cs="宋体" w:hAnsiTheme="minorHAnsi"/>
          <w:kern w:val="2"/>
          <w:sz w:val="32"/>
          <w:szCs w:val="32"/>
          <w:lang w:val="en-US" w:eastAsia="zh-CN" w:bidi="ar-SA"/>
        </w:rPr>
        <w:t>财综〔2012〕15号文，财综〔2021〕18号文更加强调了彩票公益金的公益属性，突出了支持重点。</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151" w:rightChars="0" w:firstLine="640" w:firstLineChars="200"/>
        <w:jc w:val="both"/>
        <w:textAlignment w:val="auto"/>
        <w:rPr>
          <w:rFonts w:hint="eastAsia" w:ascii="仿宋_GB2312" w:eastAsia="仿宋_GB2312" w:cs="宋体" w:hAnsiTheme="minorHAnsi"/>
          <w:kern w:val="2"/>
          <w:sz w:val="32"/>
          <w:szCs w:val="32"/>
          <w:lang w:val="en-US" w:eastAsia="zh-CN" w:bidi="ar-SA"/>
        </w:rPr>
      </w:pPr>
      <w:r>
        <w:rPr>
          <w:rFonts w:hint="eastAsia" w:ascii="仿宋_GB2312" w:eastAsia="仿宋_GB2312" w:cs="宋体" w:hAnsiTheme="minorHAnsi"/>
          <w:kern w:val="2"/>
          <w:sz w:val="32"/>
          <w:szCs w:val="32"/>
          <w:lang w:val="en-US" w:eastAsia="zh-CN" w:bidi="ar-SA"/>
        </w:rPr>
        <w:t>2011年1月1日财政部发布《政府性基金管理暂行办法》（财综〔2010〕80号），指出“政府性基金，是指各级人民政府及其所属部门根据法律、行政法规和中共中央、国务院文件规定，为支持特定公共基础设施建设和公共事业发展，向公民、法人和其他组织无偿征收的具有专项用途的财政资金”“政府性基金实行中央一级审批制度，遵循统一领导、分级管理的原则”“政府性基金属于政府非税收入，全额纳入财政预算，实行“收支两条线”管理”，说明了政府性基金的来源、性质及管理方式。</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eastAsia="仿宋_GB2312" w:cs="宋体" w:hAnsiTheme="minorHAnsi"/>
          <w:kern w:val="2"/>
          <w:sz w:val="32"/>
          <w:szCs w:val="32"/>
          <w:lang w:val="en-US" w:eastAsia="zh-CN" w:bidi="ar-SA"/>
        </w:rPr>
      </w:pPr>
      <w:r>
        <w:rPr>
          <w:rFonts w:hint="eastAsia" w:ascii="仿宋_GB2312" w:eastAsia="仿宋_GB2312" w:cs="宋体" w:hAnsiTheme="minorHAnsi"/>
          <w:kern w:val="2"/>
          <w:sz w:val="32"/>
          <w:szCs w:val="32"/>
          <w:lang w:val="en-US" w:eastAsia="zh-CN" w:bidi="ar-SA"/>
        </w:rPr>
        <w:t xml:space="preserve">    2015年6月10日深圳市财政委员会、深圳市文体旅游局发布《深圳市体育彩票公益金管理办法》（深财规〔2015〕9号），提出“深圳市体育彩票公益金（以下称“体彩公益金”）是指我市体育彩票销售收入上缴广东省后，由省按规定比例返还我市，专项用于发展体育事业的资金”“将广东省返还我市使用的体彩公益金还原成100％后,按市级52%、区级48%进行分配。体彩公益金纳入政府性基金预算管理，专款专用，结余结转按规定使用”以及“体彩公益金的补助范围包括群众体育（含青少年体育）和竞技体育。其中，用于群众体育的比例不低于70%、用于竞技体育的比例不高于30%”，明确了体育彩票公益金的来源，并指出了体育彩票公益金的使用范围及权重，详见下表。</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0"/>
        <w:jc w:val="center"/>
        <w:textAlignment w:val="auto"/>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表1 体育彩票公益金的使用范围及权重</w:t>
      </w:r>
    </w:p>
    <w:tbl>
      <w:tblPr>
        <w:tblStyle w:val="25"/>
        <w:tblW w:w="8680" w:type="dxa"/>
        <w:tblInd w:w="379" w:type="dxa"/>
        <w:shd w:val="clear" w:color="auto" w:fill="auto"/>
        <w:tblLayout w:type="fixed"/>
        <w:tblCellMar>
          <w:top w:w="0" w:type="dxa"/>
          <w:left w:w="108" w:type="dxa"/>
          <w:bottom w:w="0" w:type="dxa"/>
          <w:right w:w="108" w:type="dxa"/>
        </w:tblCellMar>
      </w:tblPr>
      <w:tblGrid>
        <w:gridCol w:w="831"/>
        <w:gridCol w:w="1404"/>
        <w:gridCol w:w="846"/>
        <w:gridCol w:w="5599"/>
      </w:tblGrid>
      <w:tr>
        <w:tblPrEx>
          <w:tblLayout w:type="fixed"/>
          <w:tblCellMar>
            <w:top w:w="0" w:type="dxa"/>
            <w:left w:w="108" w:type="dxa"/>
            <w:bottom w:w="0" w:type="dxa"/>
            <w:right w:w="108" w:type="dxa"/>
          </w:tblCellMar>
        </w:tblPrEx>
        <w:trPr>
          <w:trHeight w:val="387" w:hRule="atLeast"/>
        </w:trPr>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序号</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项目类别</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r>
              <w:rPr>
                <w:rFonts w:hint="eastAsia" w:ascii="仿宋" w:hAnsi="仿宋" w:eastAsia="仿宋" w:cs="仿宋"/>
                <w:b/>
                <w:bCs/>
                <w:kern w:val="2"/>
                <w:sz w:val="28"/>
                <w:szCs w:val="28"/>
                <w:lang w:val="en-US" w:eastAsia="zh-CN" w:bidi="ar-SA"/>
              </w:rPr>
              <w:t>权重</w:t>
            </w:r>
          </w:p>
        </w:tc>
        <w:tc>
          <w:tcPr>
            <w:tcW w:w="5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具体内容</w:t>
            </w:r>
          </w:p>
        </w:tc>
      </w:tr>
      <w:tr>
        <w:tblPrEx>
          <w:tblLayout w:type="fixed"/>
          <w:tblCellMar>
            <w:top w:w="0" w:type="dxa"/>
            <w:left w:w="108" w:type="dxa"/>
            <w:bottom w:w="0" w:type="dxa"/>
            <w:right w:w="108" w:type="dxa"/>
          </w:tblCellMar>
        </w:tblPrEx>
        <w:trPr>
          <w:trHeight w:val="557" w:hRule="atLeast"/>
        </w:trPr>
        <w:tc>
          <w:tcPr>
            <w:tcW w:w="8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w:t>
            </w:r>
          </w:p>
        </w:tc>
        <w:tc>
          <w:tcPr>
            <w:tcW w:w="14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群众体育</w:t>
            </w:r>
          </w:p>
        </w:tc>
        <w:tc>
          <w:tcPr>
            <w:tcW w:w="84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不低于70%</w:t>
            </w:r>
          </w:p>
        </w:tc>
        <w:tc>
          <w:tcPr>
            <w:tcW w:w="5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资助建设和维修公共体育场馆及设施</w:t>
            </w:r>
          </w:p>
        </w:tc>
      </w:tr>
      <w:tr>
        <w:tblPrEx>
          <w:tblLayout w:type="fixed"/>
          <w:tblCellMar>
            <w:top w:w="0" w:type="dxa"/>
            <w:left w:w="108" w:type="dxa"/>
            <w:bottom w:w="0" w:type="dxa"/>
            <w:right w:w="108" w:type="dxa"/>
          </w:tblCellMar>
        </w:tblPrEx>
        <w:trPr>
          <w:trHeight w:val="609" w:hRule="atLeast"/>
        </w:trPr>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kern w:val="2"/>
                <w:sz w:val="28"/>
                <w:szCs w:val="28"/>
                <w:lang w:val="en-US" w:eastAsia="zh-CN" w:bidi="ar-SA"/>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kern w:val="2"/>
                <w:sz w:val="28"/>
                <w:szCs w:val="28"/>
                <w:lang w:val="en-US" w:eastAsia="zh-CN" w:bidi="ar-SA"/>
              </w:rPr>
            </w:pPr>
          </w:p>
        </w:tc>
        <w:tc>
          <w:tcPr>
            <w:tcW w:w="846"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p>
        </w:tc>
        <w:tc>
          <w:tcPr>
            <w:tcW w:w="5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购置配建于街道和社区的体育健身器材</w:t>
            </w:r>
          </w:p>
        </w:tc>
      </w:tr>
      <w:tr>
        <w:tblPrEx>
          <w:shd w:val="clear" w:color="auto" w:fill="auto"/>
          <w:tblLayout w:type="fixed"/>
          <w:tblCellMar>
            <w:top w:w="0" w:type="dxa"/>
            <w:left w:w="108" w:type="dxa"/>
            <w:bottom w:w="0" w:type="dxa"/>
            <w:right w:w="108" w:type="dxa"/>
          </w:tblCellMar>
        </w:tblPrEx>
        <w:trPr>
          <w:trHeight w:val="480" w:hRule="atLeast"/>
        </w:trPr>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kern w:val="2"/>
                <w:sz w:val="28"/>
                <w:szCs w:val="28"/>
                <w:lang w:val="en-US" w:eastAsia="zh-CN" w:bidi="ar-SA"/>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kern w:val="2"/>
                <w:sz w:val="28"/>
                <w:szCs w:val="28"/>
                <w:lang w:val="en-US" w:eastAsia="zh-CN" w:bidi="ar-SA"/>
              </w:rPr>
            </w:pPr>
          </w:p>
        </w:tc>
        <w:tc>
          <w:tcPr>
            <w:tcW w:w="846"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p>
        </w:tc>
        <w:tc>
          <w:tcPr>
            <w:tcW w:w="5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资助群众体育组织和队伍建设</w:t>
            </w:r>
          </w:p>
        </w:tc>
      </w:tr>
      <w:tr>
        <w:tblPrEx>
          <w:tblLayout w:type="fixed"/>
          <w:tblCellMar>
            <w:top w:w="0" w:type="dxa"/>
            <w:left w:w="108" w:type="dxa"/>
            <w:bottom w:w="0" w:type="dxa"/>
            <w:right w:w="108" w:type="dxa"/>
          </w:tblCellMar>
        </w:tblPrEx>
        <w:trPr>
          <w:trHeight w:val="480" w:hRule="atLeast"/>
        </w:trPr>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kern w:val="2"/>
                <w:sz w:val="28"/>
                <w:szCs w:val="28"/>
                <w:lang w:val="en-US" w:eastAsia="zh-CN" w:bidi="ar-SA"/>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kern w:val="2"/>
                <w:sz w:val="28"/>
                <w:szCs w:val="28"/>
                <w:lang w:val="en-US" w:eastAsia="zh-CN" w:bidi="ar-SA"/>
              </w:rPr>
            </w:pPr>
          </w:p>
        </w:tc>
        <w:tc>
          <w:tcPr>
            <w:tcW w:w="846"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p>
        </w:tc>
        <w:tc>
          <w:tcPr>
            <w:tcW w:w="5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资助或组织开展全民健身活动</w:t>
            </w:r>
          </w:p>
        </w:tc>
      </w:tr>
      <w:tr>
        <w:tblPrEx>
          <w:tblLayout w:type="fixed"/>
          <w:tblCellMar>
            <w:top w:w="0" w:type="dxa"/>
            <w:left w:w="108" w:type="dxa"/>
            <w:bottom w:w="0" w:type="dxa"/>
            <w:right w:w="108" w:type="dxa"/>
          </w:tblCellMar>
        </w:tblPrEx>
        <w:trPr>
          <w:trHeight w:val="554" w:hRule="atLeast"/>
        </w:trPr>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kern w:val="2"/>
                <w:sz w:val="28"/>
                <w:szCs w:val="28"/>
                <w:lang w:val="en-US" w:eastAsia="zh-CN" w:bidi="ar-SA"/>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kern w:val="2"/>
                <w:sz w:val="28"/>
                <w:szCs w:val="28"/>
                <w:lang w:val="en-US" w:eastAsia="zh-CN" w:bidi="ar-SA"/>
              </w:rPr>
            </w:pPr>
          </w:p>
        </w:tc>
        <w:tc>
          <w:tcPr>
            <w:tcW w:w="846"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p>
        </w:tc>
        <w:tc>
          <w:tcPr>
            <w:tcW w:w="5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资助或组织开展其他全民健身项目</w:t>
            </w:r>
          </w:p>
        </w:tc>
      </w:tr>
      <w:tr>
        <w:tblPrEx>
          <w:tblLayout w:type="fixed"/>
          <w:tblCellMar>
            <w:top w:w="0" w:type="dxa"/>
            <w:left w:w="108" w:type="dxa"/>
            <w:bottom w:w="0" w:type="dxa"/>
            <w:right w:w="108" w:type="dxa"/>
          </w:tblCellMar>
        </w:tblPrEx>
        <w:trPr>
          <w:trHeight w:val="480" w:hRule="atLeast"/>
        </w:trPr>
        <w:tc>
          <w:tcPr>
            <w:tcW w:w="8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w:t>
            </w:r>
          </w:p>
        </w:tc>
        <w:tc>
          <w:tcPr>
            <w:tcW w:w="14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青少年体育</w:t>
            </w:r>
          </w:p>
        </w:tc>
        <w:tc>
          <w:tcPr>
            <w:tcW w:w="846"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p>
        </w:tc>
        <w:tc>
          <w:tcPr>
            <w:tcW w:w="5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资助青少年体育后备人才培养</w:t>
            </w:r>
          </w:p>
        </w:tc>
      </w:tr>
      <w:tr>
        <w:tblPrEx>
          <w:tblLayout w:type="fixed"/>
          <w:tblCellMar>
            <w:top w:w="0" w:type="dxa"/>
            <w:left w:w="108" w:type="dxa"/>
            <w:bottom w:w="0" w:type="dxa"/>
            <w:right w:w="108" w:type="dxa"/>
          </w:tblCellMar>
        </w:tblPrEx>
        <w:trPr>
          <w:trHeight w:val="480" w:hRule="atLeast"/>
        </w:trPr>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kern w:val="2"/>
                <w:sz w:val="28"/>
                <w:szCs w:val="28"/>
                <w:lang w:val="en-US" w:eastAsia="zh-CN" w:bidi="ar-SA"/>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kern w:val="2"/>
                <w:sz w:val="28"/>
                <w:szCs w:val="28"/>
                <w:lang w:val="en-US" w:eastAsia="zh-CN" w:bidi="ar-SA"/>
              </w:rPr>
            </w:pPr>
          </w:p>
        </w:tc>
        <w:tc>
          <w:tcPr>
            <w:tcW w:w="846"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p>
        </w:tc>
        <w:tc>
          <w:tcPr>
            <w:tcW w:w="5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搭建学校后备人才培养网络</w:t>
            </w:r>
          </w:p>
        </w:tc>
      </w:tr>
      <w:tr>
        <w:tblPrEx>
          <w:tblLayout w:type="fixed"/>
          <w:tblCellMar>
            <w:top w:w="0" w:type="dxa"/>
            <w:left w:w="108" w:type="dxa"/>
            <w:bottom w:w="0" w:type="dxa"/>
            <w:right w:w="108" w:type="dxa"/>
          </w:tblCellMar>
        </w:tblPrEx>
        <w:trPr>
          <w:trHeight w:val="480" w:hRule="atLeast"/>
        </w:trPr>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kern w:val="2"/>
                <w:sz w:val="28"/>
                <w:szCs w:val="28"/>
                <w:lang w:val="en-US" w:eastAsia="zh-CN" w:bidi="ar-SA"/>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kern w:val="2"/>
                <w:sz w:val="28"/>
                <w:szCs w:val="28"/>
                <w:lang w:val="en-US" w:eastAsia="zh-CN" w:bidi="ar-SA"/>
              </w:rPr>
            </w:pPr>
          </w:p>
        </w:tc>
        <w:tc>
          <w:tcPr>
            <w:tcW w:w="846"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p>
        </w:tc>
        <w:tc>
          <w:tcPr>
            <w:tcW w:w="5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组织开展青少年体育竞赛活动</w:t>
            </w:r>
          </w:p>
        </w:tc>
      </w:tr>
      <w:tr>
        <w:tblPrEx>
          <w:tblLayout w:type="fixed"/>
          <w:tblCellMar>
            <w:top w:w="0" w:type="dxa"/>
            <w:left w:w="108" w:type="dxa"/>
            <w:bottom w:w="0" w:type="dxa"/>
            <w:right w:w="108" w:type="dxa"/>
          </w:tblCellMar>
        </w:tblPrEx>
        <w:trPr>
          <w:trHeight w:val="571" w:hRule="atLeast"/>
        </w:trPr>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kern w:val="2"/>
                <w:sz w:val="28"/>
                <w:szCs w:val="28"/>
                <w:lang w:val="en-US" w:eastAsia="zh-CN" w:bidi="ar-SA"/>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kern w:val="2"/>
                <w:sz w:val="28"/>
                <w:szCs w:val="28"/>
                <w:lang w:val="en-US" w:eastAsia="zh-CN" w:bidi="ar-SA"/>
              </w:rPr>
            </w:pPr>
          </w:p>
        </w:tc>
        <w:tc>
          <w:tcPr>
            <w:tcW w:w="846"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p>
        </w:tc>
        <w:tc>
          <w:tcPr>
            <w:tcW w:w="5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组织开展青少年体育科学研究和培训</w:t>
            </w:r>
          </w:p>
        </w:tc>
      </w:tr>
      <w:tr>
        <w:tblPrEx>
          <w:tblLayout w:type="fixed"/>
          <w:tblCellMar>
            <w:top w:w="0" w:type="dxa"/>
            <w:left w:w="108" w:type="dxa"/>
            <w:bottom w:w="0" w:type="dxa"/>
            <w:right w:w="108" w:type="dxa"/>
          </w:tblCellMar>
        </w:tblPrEx>
        <w:trPr>
          <w:trHeight w:val="480" w:hRule="atLeast"/>
        </w:trPr>
        <w:tc>
          <w:tcPr>
            <w:tcW w:w="8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w:t>
            </w:r>
          </w:p>
        </w:tc>
        <w:tc>
          <w:tcPr>
            <w:tcW w:w="14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竞技体育</w:t>
            </w:r>
          </w:p>
        </w:tc>
        <w:tc>
          <w:tcPr>
            <w:tcW w:w="84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不高于30%</w:t>
            </w:r>
          </w:p>
        </w:tc>
        <w:tc>
          <w:tcPr>
            <w:tcW w:w="5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改善专业运动队的训练比赛、生活设施条件</w:t>
            </w:r>
          </w:p>
        </w:tc>
      </w:tr>
      <w:tr>
        <w:tblPrEx>
          <w:tblLayout w:type="fixed"/>
          <w:tblCellMar>
            <w:top w:w="0" w:type="dxa"/>
            <w:left w:w="108" w:type="dxa"/>
            <w:bottom w:w="0" w:type="dxa"/>
            <w:right w:w="108" w:type="dxa"/>
          </w:tblCellMar>
        </w:tblPrEx>
        <w:trPr>
          <w:trHeight w:val="480" w:hRule="atLeast"/>
        </w:trPr>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kern w:val="2"/>
                <w:sz w:val="28"/>
                <w:szCs w:val="28"/>
                <w:lang w:val="en-US" w:eastAsia="zh-CN" w:bidi="ar-SA"/>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kern w:val="2"/>
                <w:sz w:val="28"/>
                <w:szCs w:val="28"/>
                <w:lang w:val="en-US" w:eastAsia="zh-CN" w:bidi="ar-SA"/>
              </w:rPr>
            </w:pPr>
          </w:p>
        </w:tc>
        <w:tc>
          <w:tcPr>
            <w:tcW w:w="846"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p>
        </w:tc>
        <w:tc>
          <w:tcPr>
            <w:tcW w:w="5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支持备战和参加全国全省综合性运动会</w:t>
            </w:r>
          </w:p>
        </w:tc>
      </w:tr>
      <w:tr>
        <w:tblPrEx>
          <w:shd w:val="clear" w:color="auto" w:fill="auto"/>
          <w:tblLayout w:type="fixed"/>
          <w:tblCellMar>
            <w:top w:w="0" w:type="dxa"/>
            <w:left w:w="108" w:type="dxa"/>
            <w:bottom w:w="0" w:type="dxa"/>
            <w:right w:w="108" w:type="dxa"/>
          </w:tblCellMar>
        </w:tblPrEx>
        <w:trPr>
          <w:trHeight w:val="480" w:hRule="atLeast"/>
        </w:trPr>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kern w:val="2"/>
                <w:sz w:val="28"/>
                <w:szCs w:val="28"/>
                <w:lang w:val="en-US" w:eastAsia="zh-CN" w:bidi="ar-SA"/>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kern w:val="2"/>
                <w:sz w:val="28"/>
                <w:szCs w:val="28"/>
                <w:lang w:val="en-US" w:eastAsia="zh-CN" w:bidi="ar-SA"/>
              </w:rPr>
            </w:pPr>
          </w:p>
        </w:tc>
        <w:tc>
          <w:tcPr>
            <w:tcW w:w="846"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p>
        </w:tc>
        <w:tc>
          <w:tcPr>
            <w:tcW w:w="5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abs>
                <w:tab w:val="left" w:pos="3688"/>
              </w:tabs>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补充运动员保障支出</w:t>
            </w:r>
          </w:p>
        </w:tc>
      </w:tr>
      <w:tr>
        <w:tblPrEx>
          <w:tblLayout w:type="fixed"/>
          <w:tblCellMar>
            <w:top w:w="0" w:type="dxa"/>
            <w:left w:w="108" w:type="dxa"/>
            <w:bottom w:w="0" w:type="dxa"/>
            <w:right w:w="108" w:type="dxa"/>
          </w:tblCellMar>
        </w:tblPrEx>
        <w:trPr>
          <w:trHeight w:val="480" w:hRule="atLeast"/>
        </w:trPr>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kern w:val="2"/>
                <w:sz w:val="28"/>
                <w:szCs w:val="28"/>
                <w:lang w:val="en-US" w:eastAsia="zh-CN" w:bidi="ar-SA"/>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kern w:val="2"/>
                <w:sz w:val="28"/>
                <w:szCs w:val="28"/>
                <w:lang w:val="en-US" w:eastAsia="zh-CN" w:bidi="ar-SA"/>
              </w:rPr>
            </w:pPr>
          </w:p>
        </w:tc>
        <w:tc>
          <w:tcPr>
            <w:tcW w:w="846"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p>
        </w:tc>
        <w:tc>
          <w:tcPr>
            <w:tcW w:w="5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资助举办或承办各类体育赛事</w:t>
            </w:r>
          </w:p>
        </w:tc>
      </w:tr>
      <w:tr>
        <w:tblPrEx>
          <w:tblLayout w:type="fixed"/>
          <w:tblCellMar>
            <w:top w:w="0" w:type="dxa"/>
            <w:left w:w="108" w:type="dxa"/>
            <w:bottom w:w="0" w:type="dxa"/>
            <w:right w:w="108" w:type="dxa"/>
          </w:tblCellMar>
        </w:tblPrEx>
        <w:trPr>
          <w:trHeight w:val="499" w:hRule="atLeast"/>
        </w:trPr>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kern w:val="2"/>
                <w:sz w:val="28"/>
                <w:szCs w:val="28"/>
                <w:lang w:val="en-US" w:eastAsia="zh-CN" w:bidi="ar-SA"/>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kern w:val="2"/>
                <w:sz w:val="28"/>
                <w:szCs w:val="28"/>
                <w:lang w:val="en-US" w:eastAsia="zh-CN" w:bidi="ar-SA"/>
              </w:rPr>
            </w:pPr>
          </w:p>
        </w:tc>
        <w:tc>
          <w:tcPr>
            <w:tcW w:w="846"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p>
        </w:tc>
        <w:tc>
          <w:tcPr>
            <w:tcW w:w="5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480" w:lineRule="exact"/>
              <w:jc w:val="center"/>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开展其他奥运争光项目</w:t>
            </w:r>
          </w:p>
        </w:tc>
      </w:tr>
    </w:tbl>
    <w:p>
      <w:pPr>
        <w:pStyle w:val="1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527" w:rightChars="0" w:firstLine="640" w:firstLineChars="200"/>
        <w:textAlignment w:val="auto"/>
        <w:outlineLvl w:val="2"/>
        <w:rPr>
          <w:rFonts w:hint="default" w:ascii="仿宋_GB2312" w:eastAsia="仿宋_GB2312" w:cs="宋体" w:hAnsiTheme="minorHAnsi"/>
          <w:b/>
          <w:bCs/>
          <w:kern w:val="2"/>
          <w:sz w:val="32"/>
          <w:szCs w:val="32"/>
          <w:lang w:val="en-US" w:eastAsia="zh-CN" w:bidi="ar-SA"/>
        </w:rPr>
      </w:pPr>
      <w:bookmarkStart w:id="17" w:name="_Toc9013"/>
      <w:r>
        <w:rPr>
          <w:rFonts w:hint="eastAsia" w:ascii="仿宋_GB2312" w:eastAsia="仿宋_GB2312" w:cs="宋体" w:hAnsiTheme="minorHAnsi"/>
          <w:b/>
          <w:bCs/>
          <w:kern w:val="2"/>
          <w:sz w:val="32"/>
          <w:szCs w:val="32"/>
          <w:lang w:val="en-US" w:eastAsia="zh-CN" w:bidi="ar-SA"/>
        </w:rPr>
        <w:t>2.政策内容</w:t>
      </w:r>
      <w:bookmarkEnd w:id="17"/>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eastAsia="zh-CN"/>
        </w:rPr>
        <w:t>深圳市龙华区文化广电旅游体育局（以下简称“</w:t>
      </w:r>
      <w:r>
        <w:rPr>
          <w:rFonts w:hint="eastAsia" w:ascii="仿宋_GB2312" w:hAnsi="仿宋_GB2312" w:eastAsia="仿宋_GB2312" w:cs="仿宋_GB2312"/>
          <w:kern w:val="2"/>
          <w:sz w:val="32"/>
          <w:szCs w:val="32"/>
          <w:lang w:val="en-US" w:eastAsia="zh-CN" w:bidi="ar-SA"/>
        </w:rPr>
        <w:t>龙华区文体局</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bidi="ar-SA"/>
        </w:rPr>
        <w:t>对体育彩票公益金的使用主要依据</w:t>
      </w:r>
      <w:r>
        <w:rPr>
          <w:rFonts w:hint="eastAsia" w:ascii="仿宋_GB2312" w:hAnsi="仿宋_GB2312" w:eastAsia="仿宋_GB2312" w:cs="仿宋_GB2312"/>
          <w:kern w:val="2"/>
          <w:sz w:val="32"/>
          <w:szCs w:val="32"/>
          <w:lang w:val="en-US" w:eastAsia="zh-CN"/>
        </w:rPr>
        <w:t>深圳市财政委员会、深圳市文体旅游局发布《深圳市体育彩票公益金管理办法》（深财规〔2015〕9号）、龙华区文体局</w:t>
      </w:r>
      <w:r>
        <w:rPr>
          <w:rFonts w:hint="eastAsia" w:ascii="仿宋_GB2312" w:hAnsi="仿宋_GB2312" w:eastAsia="仿宋_GB2312" w:cs="仿宋_GB2312"/>
          <w:kern w:val="2"/>
          <w:sz w:val="32"/>
          <w:szCs w:val="32"/>
          <w:lang w:val="en-US" w:eastAsia="zh-CN" w:bidi="ar-SA"/>
        </w:rPr>
        <w:t>实施的《深圳市</w:t>
      </w:r>
      <w:r>
        <w:rPr>
          <w:rFonts w:hint="eastAsia" w:ascii="仿宋_GB2312" w:hAnsi="仿宋_GB2312" w:eastAsia="仿宋_GB2312" w:cs="仿宋_GB2312"/>
          <w:kern w:val="2"/>
          <w:sz w:val="32"/>
          <w:szCs w:val="32"/>
          <w:lang w:val="en-US" w:eastAsia="zh-CN"/>
        </w:rPr>
        <w:t>龙华</w:t>
      </w:r>
      <w:r>
        <w:rPr>
          <w:rFonts w:hint="eastAsia" w:ascii="仿宋_GB2312" w:hAnsi="仿宋_GB2312" w:eastAsia="仿宋_GB2312" w:cs="仿宋_GB2312"/>
          <w:kern w:val="2"/>
          <w:sz w:val="32"/>
          <w:szCs w:val="32"/>
          <w:lang w:val="en-US" w:eastAsia="zh-CN" w:bidi="ar-SA"/>
        </w:rPr>
        <w:t>区文化广电旅游体育局自行采购管理暂行规定（2019年第二版）》（深龙华文〔2019〕68号）</w:t>
      </w:r>
      <w:r>
        <w:rPr>
          <w:rFonts w:hint="eastAsia" w:ascii="仿宋_GB2312" w:hAnsi="仿宋_GB2312" w:eastAsia="仿宋_GB2312" w:cs="仿宋_GB2312"/>
          <w:kern w:val="2"/>
          <w:sz w:val="32"/>
          <w:szCs w:val="32"/>
          <w:lang w:val="en-US" w:eastAsia="zh-CN"/>
        </w:rPr>
        <w:t>以及《深圳市龙华区文化广电</w:t>
      </w:r>
      <w:r>
        <w:rPr>
          <w:rFonts w:hint="eastAsia" w:ascii="仿宋_GB2312" w:hAnsi="仿宋_GB2312" w:eastAsia="仿宋_GB2312" w:cs="仿宋_GB2312"/>
          <w:kern w:val="2"/>
          <w:sz w:val="32"/>
          <w:szCs w:val="32"/>
          <w:lang w:val="en-US" w:eastAsia="zh-CN" w:bidi="ar-SA"/>
        </w:rPr>
        <w:t>旅游体育局财务管理办法》</w:t>
      </w:r>
      <w:r>
        <w:rPr>
          <w:rFonts w:hint="eastAsia" w:ascii="仿宋_GB2312" w:hAnsi="仿宋_GB2312" w:eastAsia="仿宋_GB2312" w:cs="仿宋_GB2312"/>
          <w:kern w:val="2"/>
          <w:sz w:val="32"/>
          <w:szCs w:val="32"/>
          <w:lang w:val="en-US" w:eastAsia="zh-CN"/>
        </w:rPr>
        <w:t>（深龙华文〔2019〕11号）</w:t>
      </w:r>
      <w:r>
        <w:rPr>
          <w:rFonts w:hint="eastAsia" w:ascii="仿宋_GB2312" w:hAnsi="仿宋_GB2312" w:eastAsia="仿宋_GB2312" w:cs="仿宋_GB2312"/>
          <w:kern w:val="2"/>
          <w:sz w:val="32"/>
          <w:szCs w:val="32"/>
          <w:lang w:val="en-US" w:eastAsia="zh-CN" w:bidi="ar-SA"/>
        </w:rPr>
        <w:t>。</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仿宋_GB2312" w:eastAsia="仿宋_GB2312" w:cs="仿宋_GB2312"/>
          <w:b/>
          <w:bCs/>
          <w:kern w:val="2"/>
          <w:sz w:val="32"/>
          <w:szCs w:val="32"/>
        </w:rPr>
      </w:pPr>
      <w:r>
        <w:rPr>
          <w:rFonts w:hint="eastAsia" w:ascii="仿宋_GB2312" w:hAnsi="仿宋_GB2312" w:eastAsia="仿宋_GB2312" w:cs="仿宋_GB2312"/>
          <w:kern w:val="2"/>
          <w:sz w:val="32"/>
          <w:szCs w:val="32"/>
          <w:lang w:val="en-US" w:eastAsia="zh-CN" w:bidi="ar-SA"/>
        </w:rPr>
        <w:t>故本次绩效评价重点依据上述文件。</w:t>
      </w:r>
    </w:p>
    <w:p>
      <w:pPr>
        <w:pStyle w:val="16"/>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527" w:firstLine="640" w:firstLineChars="200"/>
        <w:textAlignment w:val="auto"/>
        <w:outlineLvl w:val="1"/>
        <w:rPr>
          <w:rFonts w:hint="eastAsia" w:ascii="楷体" w:hAnsi="楷体" w:eastAsia="楷体" w:cs="楷体"/>
          <w:b/>
          <w:bCs/>
          <w:kern w:val="2"/>
          <w:sz w:val="32"/>
          <w:szCs w:val="32"/>
          <w:lang w:eastAsia="zh-CN"/>
        </w:rPr>
      </w:pPr>
      <w:bookmarkStart w:id="18" w:name="_Toc32122"/>
      <w:r>
        <w:rPr>
          <w:rFonts w:hint="eastAsia" w:ascii="楷体" w:hAnsi="楷体" w:eastAsia="楷体" w:cs="楷体"/>
          <w:b/>
          <w:bCs/>
          <w:kern w:val="2"/>
          <w:sz w:val="32"/>
          <w:szCs w:val="32"/>
          <w:lang w:eastAsia="zh-CN"/>
        </w:rPr>
        <w:t>组织管理职能</w:t>
      </w:r>
      <w:bookmarkEnd w:id="18"/>
    </w:p>
    <w:p>
      <w:pPr>
        <w:pStyle w:val="1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1"/>
        <w:rPr>
          <w:rFonts w:hint="eastAsia" w:ascii="仿宋_GB2312" w:eastAsia="仿宋_GB2312" w:cs="宋体" w:hAnsiTheme="minorHAnsi"/>
          <w:kern w:val="2"/>
          <w:sz w:val="32"/>
          <w:szCs w:val="32"/>
          <w:lang w:val="en-US" w:eastAsia="zh-CN" w:bidi="ar-SA"/>
        </w:rPr>
      </w:pPr>
      <w:bookmarkStart w:id="19" w:name="_Toc4251"/>
      <w:bookmarkStart w:id="20" w:name="_Toc3198"/>
      <w:bookmarkStart w:id="21" w:name="_Toc3553"/>
      <w:bookmarkStart w:id="22" w:name="_Toc25822"/>
      <w:bookmarkStart w:id="23" w:name="_Toc31196"/>
      <w:bookmarkStart w:id="24" w:name="_Toc9828"/>
      <w:bookmarkStart w:id="25" w:name="_Toc17209"/>
      <w:bookmarkStart w:id="26" w:name="_Toc13390"/>
      <w:bookmarkStart w:id="27" w:name="_Toc17832"/>
      <w:bookmarkStart w:id="28" w:name="_Toc17302"/>
      <w:bookmarkStart w:id="29" w:name="_Toc31243"/>
      <w:bookmarkStart w:id="30" w:name="_Toc4676"/>
      <w:bookmarkStart w:id="31" w:name="_Toc26988"/>
      <w:bookmarkStart w:id="32" w:name="_Toc11171"/>
      <w:bookmarkStart w:id="33" w:name="_Toc18919"/>
      <w:r>
        <w:rPr>
          <w:rFonts w:hint="eastAsia" w:ascii="仿宋_GB2312" w:eastAsia="仿宋_GB2312" w:cs="宋体" w:hAnsiTheme="minorHAnsi"/>
          <w:kern w:val="2"/>
          <w:sz w:val="32"/>
          <w:szCs w:val="32"/>
          <w:lang w:val="en-US" w:eastAsia="zh-CN" w:bidi="ar-SA"/>
        </w:rPr>
        <w:t>深圳市体育彩票公益金（以下称“体彩公益金”）是指我市体育彩票销售收入上缴广东省后，由省按规定比例返还我市，专项用于发展体育事业的资金，体彩公益金纳入政府性基金预算管理。</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pPr>
        <w:pStyle w:val="1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textAlignment w:val="auto"/>
        <w:outlineLvl w:val="1"/>
        <w:rPr>
          <w:rFonts w:hint="eastAsia" w:ascii="仿宋_GB2312" w:eastAsia="仿宋_GB2312" w:cs="宋体" w:hAnsiTheme="minorHAnsi"/>
          <w:kern w:val="2"/>
          <w:sz w:val="32"/>
          <w:szCs w:val="32"/>
          <w:lang w:val="en-US" w:eastAsia="zh-CN" w:bidi="ar-SA"/>
        </w:rPr>
      </w:pPr>
      <w:bookmarkStart w:id="34" w:name="_Toc30973"/>
      <w:bookmarkStart w:id="35" w:name="_Toc7452"/>
      <w:bookmarkStart w:id="36" w:name="_Toc1963"/>
      <w:bookmarkStart w:id="37" w:name="_Toc5076"/>
      <w:bookmarkStart w:id="38" w:name="_Toc13122"/>
      <w:bookmarkStart w:id="39" w:name="_Toc10798"/>
      <w:bookmarkStart w:id="40" w:name="_Toc14515"/>
      <w:bookmarkStart w:id="41" w:name="_Toc28864"/>
      <w:bookmarkStart w:id="42" w:name="_Toc24135"/>
      <w:bookmarkStart w:id="43" w:name="_Toc4933"/>
      <w:bookmarkStart w:id="44" w:name="_Toc20346"/>
      <w:bookmarkStart w:id="45" w:name="_Toc14089"/>
      <w:bookmarkStart w:id="46" w:name="_Toc14313"/>
      <w:bookmarkStart w:id="47" w:name="_Toc11601"/>
      <w:bookmarkStart w:id="48" w:name="_Toc2291"/>
      <w:r>
        <w:rPr>
          <w:rFonts w:hint="eastAsia" w:ascii="仿宋_GB2312" w:eastAsia="仿宋_GB2312" w:cs="宋体" w:hAnsiTheme="minorHAnsi"/>
          <w:kern w:val="2"/>
          <w:sz w:val="32"/>
          <w:szCs w:val="32"/>
          <w:lang w:val="en-US" w:eastAsia="zh-CN" w:bidi="ar-SA"/>
        </w:rPr>
        <w:t>根据《广东省省级彩票专项公益金使用管理办法》（粤财综</w:t>
      </w:r>
      <w:r>
        <w:rPr>
          <w:rFonts w:hint="eastAsia" w:ascii="仿宋_GB2312" w:eastAsia="仿宋_GB2312" w:hAnsiTheme="minorHAnsi"/>
          <w:kern w:val="2"/>
          <w:sz w:val="32"/>
          <w:szCs w:val="32"/>
          <w:lang w:val="en-US" w:eastAsia="zh-CN"/>
        </w:rPr>
        <w:t>〔</w:t>
      </w:r>
      <w:r>
        <w:rPr>
          <w:rFonts w:hint="eastAsia" w:ascii="仿宋_GB2312" w:eastAsia="仿宋_GB2312" w:cs="宋体" w:hAnsiTheme="minorHAnsi"/>
          <w:kern w:val="2"/>
          <w:sz w:val="32"/>
          <w:szCs w:val="32"/>
          <w:lang w:val="en-US" w:eastAsia="zh-CN" w:bidi="ar-SA"/>
        </w:rPr>
        <w:t>2014</w:t>
      </w:r>
      <w:r>
        <w:rPr>
          <w:rFonts w:hint="eastAsia" w:ascii="仿宋_GB2312" w:eastAsia="仿宋_GB2312" w:hAnsiTheme="minorHAnsi"/>
          <w:kern w:val="2"/>
          <w:sz w:val="32"/>
          <w:szCs w:val="32"/>
          <w:lang w:val="en-US" w:eastAsia="zh-CN"/>
        </w:rPr>
        <w:t>〕</w:t>
      </w:r>
      <w:r>
        <w:rPr>
          <w:rFonts w:hint="eastAsia" w:ascii="仿宋_GB2312" w:eastAsia="仿宋_GB2312" w:cs="宋体" w:hAnsiTheme="minorHAnsi"/>
          <w:kern w:val="2"/>
          <w:sz w:val="32"/>
          <w:szCs w:val="32"/>
          <w:lang w:val="en-US" w:eastAsia="zh-CN" w:bidi="ar-SA"/>
        </w:rPr>
        <w:t>210号）规定，各级财政部门是专项公益金的主管部门。省财政厅负责专项公益金筹集、管理、资金额度分配和资金核拨，组织实施监督检查和绩效评价等工作；市县财政部门负责本地区专项公益金组织申报、项目评审、检查和组织开展绩效自评工作，确保专项资金使用安全、有效；专项公益金使用单位负责项目资金申报、项目执行和绩效自评等工作。</w:t>
      </w:r>
      <w:bookmarkEnd w:id="34"/>
      <w:bookmarkEnd w:id="35"/>
      <w:bookmarkEnd w:id="36"/>
      <w:bookmarkEnd w:id="37"/>
      <w:bookmarkEnd w:id="38"/>
      <w:bookmarkEnd w:id="39"/>
      <w:bookmarkEnd w:id="40"/>
      <w:bookmarkEnd w:id="41"/>
      <w:bookmarkEnd w:id="42"/>
    </w:p>
    <w:p>
      <w:pPr>
        <w:pStyle w:val="1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1"/>
        <w:rPr>
          <w:rFonts w:hint="eastAsia" w:ascii="仿宋_GB2312" w:eastAsia="仿宋_GB2312" w:cs="宋体" w:hAnsiTheme="minorHAnsi"/>
          <w:kern w:val="2"/>
          <w:sz w:val="32"/>
          <w:szCs w:val="32"/>
          <w:lang w:val="en-US" w:eastAsia="zh-CN" w:bidi="ar-SA"/>
        </w:rPr>
      </w:pPr>
      <w:bookmarkStart w:id="49" w:name="_Toc20290"/>
      <w:bookmarkStart w:id="50" w:name="_Toc6217"/>
      <w:bookmarkStart w:id="51" w:name="_Toc24642"/>
      <w:bookmarkStart w:id="52" w:name="_Toc15745"/>
      <w:bookmarkStart w:id="53" w:name="_Toc19222"/>
      <w:bookmarkStart w:id="54" w:name="_Toc23106"/>
      <w:bookmarkStart w:id="55" w:name="_Toc19520"/>
      <w:bookmarkStart w:id="56" w:name="_Toc28517"/>
      <w:bookmarkStart w:id="57" w:name="_Toc22021"/>
      <w:r>
        <w:rPr>
          <w:rFonts w:hint="eastAsia" w:ascii="仿宋_GB2312" w:eastAsia="仿宋_GB2312" w:cs="宋体" w:hAnsiTheme="minorHAnsi"/>
          <w:kern w:val="2"/>
          <w:sz w:val="32"/>
          <w:szCs w:val="32"/>
          <w:lang w:val="en-US" w:eastAsia="zh-CN" w:bidi="ar-SA"/>
        </w:rPr>
        <w:t>龙华区区级财政部门(即龙华区财政局)负责区级体彩公益金的组织申报、项目评审、检查和组织开展绩效自评等工作；龙华区区级体彩公益金使用单位(即龙华区文化广电旅游体育局)负责项目资金申报、项目执行和绩效自评等具体管理工作。</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pPr>
        <w:pStyle w:val="16"/>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527" w:firstLine="640" w:firstLineChars="200"/>
        <w:textAlignment w:val="auto"/>
        <w:outlineLvl w:val="1"/>
        <w:rPr>
          <w:rFonts w:hint="default" w:ascii="仿宋_GB2312" w:eastAsia="仿宋_GB2312" w:hAnsiTheme="minorHAnsi"/>
          <w:b/>
          <w:bCs/>
          <w:kern w:val="2"/>
          <w:sz w:val="32"/>
          <w:szCs w:val="32"/>
          <w:lang w:val="en-US" w:eastAsia="zh-CN"/>
        </w:rPr>
      </w:pPr>
      <w:bookmarkStart w:id="58" w:name="_Toc28111"/>
      <w:r>
        <w:rPr>
          <w:rFonts w:hint="eastAsia" w:ascii="楷体" w:hAnsi="楷体" w:eastAsia="楷体" w:cs="楷体"/>
          <w:b/>
          <w:bCs/>
          <w:kern w:val="2"/>
          <w:sz w:val="32"/>
          <w:szCs w:val="32"/>
          <w:lang w:val="en-US" w:eastAsia="zh-CN"/>
        </w:rPr>
        <w:t>2020年度体育彩票公益金</w:t>
      </w:r>
      <w:r>
        <w:rPr>
          <w:rFonts w:hint="eastAsia" w:ascii="楷体" w:hAnsi="楷体" w:eastAsia="楷体" w:cs="楷体"/>
          <w:b/>
          <w:bCs/>
          <w:kern w:val="2"/>
          <w:sz w:val="32"/>
          <w:szCs w:val="32"/>
          <w:lang w:eastAsia="zh-CN"/>
        </w:rPr>
        <w:t>基本</w:t>
      </w:r>
      <w:r>
        <w:rPr>
          <w:rFonts w:hint="eastAsia" w:ascii="仿宋_GB2312" w:eastAsia="仿宋_GB2312" w:hAnsiTheme="minorHAnsi"/>
          <w:b/>
          <w:bCs/>
          <w:kern w:val="2"/>
          <w:sz w:val="32"/>
          <w:szCs w:val="32"/>
          <w:lang w:val="en-US" w:eastAsia="zh-CN"/>
        </w:rPr>
        <w:t>情况</w:t>
      </w:r>
      <w:bookmarkEnd w:id="58"/>
    </w:p>
    <w:p>
      <w:pPr>
        <w:pStyle w:val="1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527" w:rightChars="0" w:firstLine="640" w:firstLineChars="200"/>
        <w:textAlignment w:val="auto"/>
        <w:outlineLvl w:val="2"/>
        <w:rPr>
          <w:rFonts w:hint="eastAsia" w:ascii="仿宋_GB2312" w:eastAsia="仿宋_GB2312" w:hAnsiTheme="minorHAnsi"/>
          <w:b w:val="0"/>
          <w:bCs w:val="0"/>
          <w:kern w:val="2"/>
          <w:sz w:val="32"/>
          <w:szCs w:val="32"/>
          <w:lang w:val="en-US" w:eastAsia="zh-CN"/>
        </w:rPr>
      </w:pPr>
      <w:bookmarkStart w:id="59" w:name="_Toc15827"/>
      <w:bookmarkStart w:id="60" w:name="_Toc4379"/>
      <w:r>
        <w:rPr>
          <w:rFonts w:hint="eastAsia" w:ascii="仿宋_GB2312" w:eastAsia="仿宋_GB2312" w:cs="宋体" w:hAnsiTheme="minorHAnsi"/>
          <w:b/>
          <w:bCs/>
          <w:kern w:val="2"/>
          <w:sz w:val="32"/>
          <w:szCs w:val="32"/>
          <w:lang w:val="en-US" w:eastAsia="zh-CN" w:bidi="ar-SA"/>
        </w:rPr>
        <w:t>1.2020年度广东省返还深圳市使用的体彩公益金分配情况</w:t>
      </w:r>
      <w:bookmarkEnd w:id="59"/>
      <w:bookmarkEnd w:id="60"/>
    </w:p>
    <w:p>
      <w:pPr>
        <w:pStyle w:val="1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527" w:rightChars="0" w:firstLine="640" w:firstLineChars="200"/>
        <w:textAlignment w:val="auto"/>
        <w:outlineLvl w:val="2"/>
        <w:rPr>
          <w:rFonts w:hint="eastAsia" w:ascii="仿宋_GB2312" w:eastAsia="仿宋_GB2312" w:cs="宋体" w:hAnsiTheme="minorHAnsi"/>
          <w:kern w:val="2"/>
          <w:sz w:val="32"/>
          <w:szCs w:val="32"/>
          <w:highlight w:val="none"/>
          <w:lang w:val="en-US" w:eastAsia="zh-CN" w:bidi="ar-SA"/>
        </w:rPr>
      </w:pPr>
      <w:r>
        <w:rPr>
          <w:rFonts w:hint="eastAsia" w:ascii="仿宋_GB2312" w:eastAsia="仿宋_GB2312" w:hAnsiTheme="minorHAnsi"/>
          <w:b w:val="0"/>
          <w:bCs w:val="0"/>
          <w:kern w:val="2"/>
          <w:sz w:val="32"/>
          <w:szCs w:val="32"/>
          <w:lang w:val="en-US" w:eastAsia="zh-CN"/>
        </w:rPr>
        <w:t>2020年度广东省返还深圳市使用的体彩公益金共32,867.31万元,按照《</w:t>
      </w:r>
      <w:r>
        <w:rPr>
          <w:rFonts w:hint="eastAsia" w:ascii="仿宋_GB2312" w:eastAsia="仿宋_GB2312" w:cs="宋体" w:hAnsiTheme="minorHAnsi"/>
          <w:kern w:val="2"/>
          <w:sz w:val="32"/>
          <w:szCs w:val="32"/>
          <w:lang w:val="en-US" w:eastAsia="zh-CN" w:bidi="ar-SA"/>
        </w:rPr>
        <w:t>深圳市体育彩票公益金管理办法》（深财规〔2015〕9号）的规定，将广东省返还我市使用的体彩公益金还原成100％后，按市级52%、区级48%进行分配，其中分配至龙华区</w:t>
      </w:r>
      <w:r>
        <w:rPr>
          <w:rFonts w:hint="eastAsia" w:ascii="仿宋_GB2312" w:eastAsia="仿宋_GB2312" w:hAnsiTheme="minorHAnsi"/>
          <w:b w:val="0"/>
          <w:bCs w:val="0"/>
          <w:kern w:val="2"/>
          <w:sz w:val="32"/>
          <w:szCs w:val="32"/>
          <w:lang w:val="en-US" w:eastAsia="zh-CN"/>
        </w:rPr>
        <w:t>体育彩票公益金2,267.80万元</w:t>
      </w:r>
      <w:r>
        <w:rPr>
          <w:rFonts w:hint="eastAsia" w:ascii="仿宋_GB2312" w:eastAsia="仿宋_GB2312" w:hAnsiTheme="minorHAnsi"/>
          <w:b w:val="0"/>
          <w:bCs w:val="0"/>
          <w:kern w:val="2"/>
          <w:sz w:val="32"/>
          <w:szCs w:val="32"/>
          <w:highlight w:val="none"/>
          <w:lang w:val="en-US" w:eastAsia="zh-CN"/>
        </w:rPr>
        <w:t>，占全市</w:t>
      </w:r>
      <w:r>
        <w:rPr>
          <w:rFonts w:hint="eastAsia" w:ascii="仿宋_GB2312" w:eastAsia="仿宋_GB2312" w:cs="宋体" w:hAnsiTheme="minorHAnsi"/>
          <w:kern w:val="2"/>
          <w:sz w:val="32"/>
          <w:szCs w:val="32"/>
          <w:highlight w:val="none"/>
          <w:lang w:val="en-US" w:eastAsia="zh-CN" w:bidi="ar-SA"/>
        </w:rPr>
        <w:t>体彩公益金</w:t>
      </w:r>
      <w:r>
        <w:rPr>
          <w:rFonts w:hint="eastAsia" w:ascii="仿宋_GB2312" w:eastAsia="仿宋_GB2312" w:hAnsiTheme="minorHAnsi"/>
          <w:b w:val="0"/>
          <w:bCs w:val="0"/>
          <w:kern w:val="2"/>
          <w:sz w:val="32"/>
          <w:szCs w:val="32"/>
          <w:highlight w:val="none"/>
          <w:lang w:val="en-US" w:eastAsia="zh-CN"/>
        </w:rPr>
        <w:t>比例为6.90</w:t>
      </w:r>
      <w:r>
        <w:rPr>
          <w:rFonts w:hint="eastAsia" w:ascii="仿宋_GB2312" w:eastAsia="仿宋_GB2312" w:cs="宋体" w:hAnsiTheme="minorHAnsi"/>
          <w:kern w:val="2"/>
          <w:sz w:val="32"/>
          <w:szCs w:val="32"/>
          <w:highlight w:val="none"/>
          <w:lang w:val="en-US" w:eastAsia="zh-CN" w:bidi="ar-SA"/>
        </w:rPr>
        <w:t>%。</w:t>
      </w:r>
      <w:bookmarkStart w:id="61" w:name="_Toc4241"/>
      <w:bookmarkStart w:id="62" w:name="_Toc12926"/>
    </w:p>
    <w:p>
      <w:pPr>
        <w:pStyle w:val="1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527" w:rightChars="0" w:firstLine="640" w:firstLineChars="200"/>
        <w:textAlignment w:val="auto"/>
        <w:outlineLvl w:val="2"/>
        <w:rPr>
          <w:rFonts w:hint="eastAsia" w:ascii="仿宋_GB2312" w:eastAsia="仿宋_GB2312" w:cs="宋体" w:hAnsiTheme="minorHAnsi"/>
          <w:kern w:val="2"/>
          <w:sz w:val="32"/>
          <w:szCs w:val="32"/>
          <w:lang w:val="en-US" w:eastAsia="zh-CN" w:bidi="ar-SA"/>
        </w:rPr>
      </w:pPr>
      <w:r>
        <w:rPr>
          <w:rFonts w:hint="eastAsia" w:ascii="仿宋_GB2312" w:eastAsia="仿宋_GB2312" w:cs="宋体" w:hAnsiTheme="minorHAnsi"/>
          <w:b/>
          <w:bCs/>
          <w:kern w:val="2"/>
          <w:sz w:val="32"/>
          <w:szCs w:val="32"/>
          <w:lang w:val="en-US" w:eastAsia="zh-CN" w:bidi="ar-SA"/>
        </w:rPr>
        <w:t>2.2020年度龙华区文体局体彩公益金预决算情况</w:t>
      </w:r>
      <w:bookmarkEnd w:id="61"/>
      <w:bookmarkEnd w:id="62"/>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left="0" w:right="0" w:firstLine="640" w:firstLineChars="200"/>
        <w:textAlignment w:val="auto"/>
        <w:rPr>
          <w:rFonts w:hint="eastAsia" w:ascii="仿宋_GB2312" w:eastAsia="仿宋_GB2312" w:cs="宋体" w:hAnsiTheme="minorHAnsi"/>
          <w:kern w:val="2"/>
          <w:sz w:val="32"/>
          <w:szCs w:val="32"/>
          <w:lang w:val="en-US" w:eastAsia="zh-CN" w:bidi="ar-SA"/>
        </w:rPr>
      </w:pPr>
      <w:r>
        <w:rPr>
          <w:rFonts w:hint="eastAsia" w:ascii="仿宋_GB2312" w:eastAsia="仿宋_GB2312" w:cs="宋体" w:hAnsiTheme="minorHAnsi"/>
          <w:kern w:val="2"/>
          <w:sz w:val="32"/>
          <w:szCs w:val="32"/>
          <w:lang w:val="en-US" w:eastAsia="zh-CN" w:bidi="ar-SA"/>
        </w:rPr>
        <w:t>龙华区文体局体彩公益金年初预算安排2,313.00万元，年中因疫情原因取消部分全民健身活动项目，冻结额度490.00万元，取消部分竞技体育发展项目，预算资金100万元调剂至观澜体育公园场馆开办项目，全年调整后预算为1,823.00万元，决算金额为1,796.50万元,详见下表。</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tabs>
          <w:tab w:val="center" w:pos="4804"/>
          <w:tab w:val="right" w:pos="8205"/>
        </w:tabs>
        <w:kinsoku/>
        <w:wordWrap/>
        <w:overflowPunct/>
        <w:topLinePunct w:val="0"/>
        <w:autoSpaceDE/>
        <w:autoSpaceDN/>
        <w:bidi w:val="0"/>
        <w:adjustRightInd w:val="0"/>
        <w:snapToGrid/>
        <w:spacing w:before="0" w:beforeAutospacing="0" w:after="0" w:afterAutospacing="0" w:line="560" w:lineRule="exact"/>
        <w:ind w:left="0" w:right="0" w:firstLine="640" w:firstLineChars="200"/>
        <w:jc w:val="left"/>
        <w:textAlignment w:val="auto"/>
        <w:rPr>
          <w:rFonts w:hint="default" w:ascii="仿宋_GB2312" w:eastAsia="仿宋_GB2312" w:cs="宋体" w:hAnsiTheme="minorHAnsi"/>
          <w:b/>
          <w:bCs/>
          <w:kern w:val="2"/>
          <w:sz w:val="32"/>
          <w:szCs w:val="32"/>
          <w:lang w:val="en-US" w:eastAsia="zh-CN" w:bidi="ar-SA"/>
        </w:rPr>
      </w:pPr>
      <w:r>
        <w:rPr>
          <w:rFonts w:hint="eastAsia" w:ascii="仿宋_GB2312" w:eastAsia="仿宋_GB2312" w:cs="宋体" w:hAnsiTheme="minorHAnsi"/>
          <w:b/>
          <w:bCs/>
          <w:kern w:val="2"/>
          <w:sz w:val="32"/>
          <w:szCs w:val="32"/>
          <w:lang w:val="en-US" w:eastAsia="zh-CN" w:bidi="ar-SA"/>
        </w:rPr>
        <w:tab/>
      </w:r>
      <w:r>
        <w:rPr>
          <w:rFonts w:hint="eastAsia" w:ascii="仿宋" w:hAnsi="仿宋" w:eastAsia="仿宋" w:cs="仿宋"/>
          <w:b/>
          <w:bCs/>
          <w:kern w:val="2"/>
          <w:sz w:val="28"/>
          <w:szCs w:val="28"/>
          <w:lang w:val="en-US" w:eastAsia="zh-CN" w:bidi="ar-SA"/>
        </w:rPr>
        <w:t>表2 龙华区文体局体彩公益金预决算情况</w:t>
      </w:r>
      <w:r>
        <w:rPr>
          <w:rFonts w:hint="eastAsia" w:ascii="仿宋" w:hAnsi="仿宋" w:eastAsia="仿宋" w:cs="仿宋"/>
          <w:b/>
          <w:bCs/>
          <w:kern w:val="2"/>
          <w:sz w:val="28"/>
          <w:szCs w:val="28"/>
          <w:lang w:val="en-US" w:eastAsia="zh-CN" w:bidi="ar-SA"/>
        </w:rPr>
        <w:tab/>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tabs>
          <w:tab w:val="left" w:pos="6370"/>
          <w:tab w:val="right" w:pos="8966"/>
        </w:tabs>
        <w:kinsoku/>
        <w:wordWrap/>
        <w:overflowPunct/>
        <w:topLinePunct w:val="0"/>
        <w:autoSpaceDE/>
        <w:autoSpaceDN/>
        <w:bidi w:val="0"/>
        <w:adjustRightInd w:val="0"/>
        <w:snapToGrid/>
        <w:spacing w:before="0" w:beforeAutospacing="0" w:after="0" w:afterAutospacing="0" w:line="560" w:lineRule="exact"/>
        <w:ind w:left="0" w:right="0" w:firstLine="480" w:firstLineChars="200"/>
        <w:jc w:val="left"/>
        <w:textAlignment w:val="auto"/>
        <w:rPr>
          <w:rFonts w:hint="eastAsia" w:ascii="仿宋_GB2312" w:eastAsia="仿宋_GB2312" w:cs="宋体" w:hAnsiTheme="minorHAnsi"/>
          <w:kern w:val="2"/>
          <w:sz w:val="32"/>
          <w:szCs w:val="32"/>
          <w:lang w:val="en-US" w:eastAsia="zh-CN" w:bidi="ar-SA"/>
        </w:rPr>
      </w:pPr>
      <w:r>
        <w:rPr>
          <w:rFonts w:hint="eastAsia" w:ascii="仿宋_GB2312" w:eastAsia="仿宋_GB2312" w:cs="宋体" w:hAnsiTheme="minorHAnsi"/>
          <w:kern w:val="2"/>
          <w:sz w:val="24"/>
          <w:szCs w:val="24"/>
          <w:lang w:val="en-US" w:eastAsia="zh-CN" w:bidi="ar-SA"/>
        </w:rPr>
        <w:tab/>
      </w:r>
      <w:r>
        <w:rPr>
          <w:rFonts w:hint="eastAsia" w:ascii="仿宋_GB2312" w:eastAsia="仿宋_GB2312" w:cs="宋体" w:hAnsiTheme="minorHAnsi"/>
          <w:kern w:val="2"/>
          <w:sz w:val="24"/>
          <w:szCs w:val="24"/>
          <w:lang w:val="en-US" w:eastAsia="zh-CN" w:bidi="ar-SA"/>
        </w:rPr>
        <w:tab/>
      </w:r>
      <w:r>
        <w:rPr>
          <w:rFonts w:hint="eastAsia" w:ascii="仿宋_GB2312" w:eastAsia="仿宋_GB2312" w:cs="宋体" w:hAnsiTheme="minorHAnsi"/>
          <w:kern w:val="2"/>
          <w:sz w:val="24"/>
          <w:szCs w:val="24"/>
          <w:lang w:val="en-US" w:eastAsia="zh-CN" w:bidi="ar-SA"/>
        </w:rPr>
        <w:t>金额单位：人民币万元</w:t>
      </w:r>
    </w:p>
    <w:tbl>
      <w:tblPr>
        <w:tblStyle w:val="25"/>
        <w:tblW w:w="9062" w:type="dxa"/>
        <w:tblInd w:w="0" w:type="dxa"/>
        <w:shd w:val="clear" w:color="auto" w:fill="auto"/>
        <w:tblLayout w:type="fixed"/>
        <w:tblCellMar>
          <w:top w:w="0" w:type="dxa"/>
          <w:left w:w="108" w:type="dxa"/>
          <w:bottom w:w="0" w:type="dxa"/>
          <w:right w:w="108" w:type="dxa"/>
        </w:tblCellMar>
      </w:tblPr>
      <w:tblGrid>
        <w:gridCol w:w="1913"/>
        <w:gridCol w:w="1531"/>
        <w:gridCol w:w="1440"/>
        <w:gridCol w:w="1395"/>
        <w:gridCol w:w="1545"/>
        <w:gridCol w:w="1238"/>
      </w:tblGrid>
      <w:tr>
        <w:tblPrEx>
          <w:shd w:val="clear" w:color="auto" w:fill="auto"/>
          <w:tblLayout w:type="fixed"/>
          <w:tblCellMar>
            <w:top w:w="0" w:type="dxa"/>
            <w:left w:w="108" w:type="dxa"/>
            <w:bottom w:w="0" w:type="dxa"/>
            <w:right w:w="108" w:type="dxa"/>
          </w:tblCellMar>
        </w:tblPrEx>
        <w:trPr>
          <w:trHeight w:val="1090" w:hRule="atLeast"/>
        </w:trPr>
        <w:tc>
          <w:tcPr>
            <w:tcW w:w="19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420" w:lineRule="exact"/>
              <w:jc w:val="center"/>
              <w:textAlignment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预算项目</w:t>
            </w:r>
          </w:p>
        </w:tc>
        <w:tc>
          <w:tcPr>
            <w:tcW w:w="1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420" w:lineRule="exact"/>
              <w:jc w:val="center"/>
              <w:textAlignment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年初预算安排</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420" w:lineRule="exact"/>
              <w:jc w:val="center"/>
              <w:textAlignment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年中调剂</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420" w:lineRule="exact"/>
              <w:jc w:val="center"/>
              <w:textAlignment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调整后预算数</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420" w:lineRule="exact"/>
              <w:jc w:val="center"/>
              <w:textAlignment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决算数</w:t>
            </w:r>
          </w:p>
        </w:tc>
        <w:tc>
          <w:tcPr>
            <w:tcW w:w="1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420" w:lineRule="exact"/>
              <w:jc w:val="center"/>
              <w:textAlignment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预算执行率</w:t>
            </w:r>
          </w:p>
        </w:tc>
      </w:tr>
      <w:tr>
        <w:tblPrEx>
          <w:tblLayout w:type="fixed"/>
          <w:tblCellMar>
            <w:top w:w="0" w:type="dxa"/>
            <w:left w:w="108" w:type="dxa"/>
            <w:bottom w:w="0" w:type="dxa"/>
            <w:right w:w="108" w:type="dxa"/>
          </w:tblCellMar>
        </w:tblPrEx>
        <w:trPr>
          <w:trHeight w:val="742" w:hRule="atLeast"/>
        </w:trPr>
        <w:tc>
          <w:tcPr>
            <w:tcW w:w="19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420" w:lineRule="exact"/>
              <w:jc w:val="center"/>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体育设施建设</w:t>
            </w:r>
          </w:p>
        </w:tc>
        <w:tc>
          <w:tcPr>
            <w:tcW w:w="1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220" w:lineRule="exact"/>
              <w:jc w:val="right"/>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550.00 </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220" w:lineRule="exact"/>
              <w:jc w:val="right"/>
              <w:textAlignment w:val="center"/>
              <w:rPr>
                <w:rFonts w:hint="eastAsia" w:ascii="仿宋" w:hAnsi="仿宋" w:eastAsia="仿宋" w:cs="仿宋"/>
                <w:kern w:val="2"/>
                <w:sz w:val="28"/>
                <w:szCs w:val="28"/>
                <w:lang w:val="en-US" w:eastAsia="zh-CN" w:bidi="ar-SA"/>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220" w:lineRule="exact"/>
              <w:jc w:val="right"/>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550.00 </w:t>
            </w:r>
          </w:p>
        </w:tc>
        <w:tc>
          <w:tcPr>
            <w:tcW w:w="1545"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220" w:lineRule="exact"/>
              <w:jc w:val="right"/>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532.67 </w:t>
            </w:r>
          </w:p>
        </w:tc>
        <w:tc>
          <w:tcPr>
            <w:tcW w:w="1238"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220" w:lineRule="exact"/>
              <w:jc w:val="right"/>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96.85%</w:t>
            </w:r>
          </w:p>
        </w:tc>
      </w:tr>
      <w:tr>
        <w:tblPrEx>
          <w:shd w:val="clear" w:color="auto" w:fill="auto"/>
          <w:tblLayout w:type="fixed"/>
          <w:tblCellMar>
            <w:top w:w="0" w:type="dxa"/>
            <w:left w:w="108" w:type="dxa"/>
            <w:bottom w:w="0" w:type="dxa"/>
            <w:right w:w="108" w:type="dxa"/>
          </w:tblCellMar>
        </w:tblPrEx>
        <w:trPr>
          <w:trHeight w:val="933" w:hRule="atLeast"/>
        </w:trPr>
        <w:tc>
          <w:tcPr>
            <w:tcW w:w="19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420" w:lineRule="exact"/>
              <w:jc w:val="center"/>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全民健身活动</w:t>
            </w:r>
          </w:p>
        </w:tc>
        <w:tc>
          <w:tcPr>
            <w:tcW w:w="1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220" w:lineRule="exact"/>
              <w:jc w:val="right"/>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1,423.00 </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220" w:lineRule="exact"/>
              <w:jc w:val="right"/>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-490.00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220" w:lineRule="exact"/>
              <w:jc w:val="right"/>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933.00 </w:t>
            </w:r>
          </w:p>
        </w:tc>
        <w:tc>
          <w:tcPr>
            <w:tcW w:w="1545"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220" w:lineRule="exact"/>
              <w:jc w:val="right"/>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925.52 </w:t>
            </w:r>
          </w:p>
        </w:tc>
        <w:tc>
          <w:tcPr>
            <w:tcW w:w="1238"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220" w:lineRule="exact"/>
              <w:jc w:val="right"/>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99.20%</w:t>
            </w:r>
          </w:p>
        </w:tc>
      </w:tr>
      <w:tr>
        <w:tblPrEx>
          <w:shd w:val="clear" w:color="auto" w:fill="auto"/>
          <w:tblLayout w:type="fixed"/>
          <w:tblCellMar>
            <w:top w:w="0" w:type="dxa"/>
            <w:left w:w="108" w:type="dxa"/>
            <w:bottom w:w="0" w:type="dxa"/>
            <w:right w:w="108" w:type="dxa"/>
          </w:tblCellMar>
        </w:tblPrEx>
        <w:trPr>
          <w:trHeight w:val="495" w:hRule="atLeast"/>
        </w:trPr>
        <w:tc>
          <w:tcPr>
            <w:tcW w:w="19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420" w:lineRule="exact"/>
              <w:jc w:val="center"/>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竞技体育发展</w:t>
            </w:r>
          </w:p>
        </w:tc>
        <w:tc>
          <w:tcPr>
            <w:tcW w:w="1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220" w:lineRule="exact"/>
              <w:jc w:val="right"/>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340.00 </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220" w:lineRule="exact"/>
              <w:jc w:val="right"/>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-100.00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220" w:lineRule="exact"/>
              <w:jc w:val="right"/>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240.00 </w:t>
            </w:r>
          </w:p>
        </w:tc>
        <w:tc>
          <w:tcPr>
            <w:tcW w:w="1545" w:type="dxa"/>
            <w:tcBorders>
              <w:top w:val="nil"/>
              <w:left w:val="nil"/>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220" w:lineRule="exact"/>
              <w:jc w:val="right"/>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239.27 </w:t>
            </w:r>
          </w:p>
        </w:tc>
        <w:tc>
          <w:tcPr>
            <w:tcW w:w="1238" w:type="dxa"/>
            <w:tcBorders>
              <w:top w:val="nil"/>
              <w:left w:val="nil"/>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220" w:lineRule="exact"/>
              <w:jc w:val="right"/>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99.69%</w:t>
            </w:r>
          </w:p>
        </w:tc>
      </w:tr>
      <w:tr>
        <w:tblPrEx>
          <w:tblLayout w:type="fixed"/>
          <w:tblCellMar>
            <w:top w:w="0" w:type="dxa"/>
            <w:left w:w="108" w:type="dxa"/>
            <w:bottom w:w="0" w:type="dxa"/>
            <w:right w:w="108" w:type="dxa"/>
          </w:tblCellMar>
        </w:tblPrEx>
        <w:trPr>
          <w:trHeight w:val="1090" w:hRule="atLeast"/>
        </w:trPr>
        <w:tc>
          <w:tcPr>
            <w:tcW w:w="19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420" w:lineRule="exact"/>
              <w:jc w:val="center"/>
              <w:textAlignment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预算项目</w:t>
            </w:r>
          </w:p>
        </w:tc>
        <w:tc>
          <w:tcPr>
            <w:tcW w:w="1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420" w:lineRule="exact"/>
              <w:jc w:val="center"/>
              <w:textAlignment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年初预算安排</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420" w:lineRule="exact"/>
              <w:jc w:val="center"/>
              <w:textAlignment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年中调剂</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420" w:lineRule="exact"/>
              <w:jc w:val="center"/>
              <w:textAlignment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调整后预算数</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420" w:lineRule="exact"/>
              <w:jc w:val="center"/>
              <w:textAlignment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决算数</w:t>
            </w:r>
          </w:p>
        </w:tc>
        <w:tc>
          <w:tcPr>
            <w:tcW w:w="1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420" w:lineRule="exact"/>
              <w:jc w:val="center"/>
              <w:textAlignment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预算执行率</w:t>
            </w:r>
          </w:p>
        </w:tc>
      </w:tr>
      <w:tr>
        <w:tblPrEx>
          <w:tblLayout w:type="fixed"/>
          <w:tblCellMar>
            <w:top w:w="0" w:type="dxa"/>
            <w:left w:w="108" w:type="dxa"/>
            <w:bottom w:w="0" w:type="dxa"/>
            <w:right w:w="108" w:type="dxa"/>
          </w:tblCellMar>
        </w:tblPrEx>
        <w:trPr>
          <w:trHeight w:val="550" w:hRule="atLeast"/>
        </w:trPr>
        <w:tc>
          <w:tcPr>
            <w:tcW w:w="19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420" w:lineRule="exact"/>
              <w:jc w:val="center"/>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观澜体育公园场馆开办</w:t>
            </w:r>
          </w:p>
        </w:tc>
        <w:tc>
          <w:tcPr>
            <w:tcW w:w="1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220" w:lineRule="exact"/>
              <w:jc w:val="right"/>
              <w:textAlignment w:val="center"/>
              <w:rPr>
                <w:rFonts w:hint="eastAsia" w:ascii="仿宋" w:hAnsi="仿宋" w:eastAsia="仿宋" w:cs="仿宋"/>
                <w:kern w:val="2"/>
                <w:sz w:val="28"/>
                <w:szCs w:val="28"/>
                <w:lang w:val="en-US" w:eastAsia="zh-CN" w:bidi="ar-SA"/>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220" w:lineRule="exact"/>
              <w:jc w:val="right"/>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100.00 </w:t>
            </w:r>
          </w:p>
        </w:tc>
        <w:tc>
          <w:tcPr>
            <w:tcW w:w="1395"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220" w:lineRule="exact"/>
              <w:jc w:val="right"/>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100.00 </w:t>
            </w:r>
          </w:p>
        </w:tc>
        <w:tc>
          <w:tcPr>
            <w:tcW w:w="15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220" w:lineRule="exact"/>
              <w:jc w:val="right"/>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99.04 </w:t>
            </w:r>
          </w:p>
        </w:tc>
        <w:tc>
          <w:tcPr>
            <w:tcW w:w="123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220" w:lineRule="exact"/>
              <w:jc w:val="right"/>
              <w:textAlignment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99.04%</w:t>
            </w:r>
          </w:p>
        </w:tc>
      </w:tr>
      <w:tr>
        <w:tblPrEx>
          <w:tblLayout w:type="fixed"/>
          <w:tblCellMar>
            <w:top w:w="0" w:type="dxa"/>
            <w:left w:w="108" w:type="dxa"/>
            <w:bottom w:w="0" w:type="dxa"/>
            <w:right w:w="108" w:type="dxa"/>
          </w:tblCellMar>
        </w:tblPrEx>
        <w:trPr>
          <w:trHeight w:val="531" w:hRule="atLeast"/>
        </w:trPr>
        <w:tc>
          <w:tcPr>
            <w:tcW w:w="19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420" w:lineRule="exact"/>
              <w:jc w:val="center"/>
              <w:textAlignment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合计</w:t>
            </w:r>
          </w:p>
        </w:tc>
        <w:tc>
          <w:tcPr>
            <w:tcW w:w="1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220" w:lineRule="exact"/>
              <w:jc w:val="right"/>
              <w:textAlignment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 xml:space="preserve">2,313.00 </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220" w:lineRule="exact"/>
              <w:jc w:val="right"/>
              <w:textAlignment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 xml:space="preserve">-490.00 </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220" w:lineRule="exact"/>
              <w:jc w:val="right"/>
              <w:textAlignment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 xml:space="preserve">1,823.00 </w:t>
            </w:r>
          </w:p>
        </w:tc>
        <w:tc>
          <w:tcPr>
            <w:tcW w:w="154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220" w:lineRule="exact"/>
              <w:jc w:val="right"/>
              <w:textAlignment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 xml:space="preserve">1,796.50 </w:t>
            </w:r>
          </w:p>
        </w:tc>
        <w:tc>
          <w:tcPr>
            <w:tcW w:w="1238"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220" w:lineRule="exact"/>
              <w:jc w:val="right"/>
              <w:textAlignment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98.55%</w:t>
            </w:r>
          </w:p>
        </w:tc>
      </w:tr>
    </w:tbl>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jc w:val="both"/>
        <w:textAlignment w:val="auto"/>
        <w:outlineLvl w:val="0"/>
        <w:rPr>
          <w:rFonts w:hint="eastAsia" w:ascii="黑体" w:hAnsi="黑体" w:eastAsia="黑体" w:cs="黑体"/>
          <w:kern w:val="2"/>
          <w:sz w:val="32"/>
          <w:szCs w:val="32"/>
          <w:lang w:val="en-US" w:eastAsia="zh-CN"/>
        </w:rPr>
      </w:pPr>
      <w:bookmarkStart w:id="63" w:name="_Toc5754"/>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jc w:val="both"/>
        <w:textAlignment w:val="auto"/>
        <w:outlineLvl w:val="0"/>
        <w:rPr>
          <w:rFonts w:hint="eastAsia" w:ascii="黑体" w:hAnsi="黑体" w:eastAsia="黑体" w:cs="黑体"/>
          <w:kern w:val="2"/>
          <w:sz w:val="32"/>
          <w:szCs w:val="32"/>
          <w:lang w:val="en-US" w:eastAsia="zh-CN"/>
        </w:rPr>
      </w:pPr>
      <w:r>
        <w:rPr>
          <w:rFonts w:hint="eastAsia" w:ascii="黑体" w:hAnsi="黑体" w:eastAsia="黑体" w:cs="黑体"/>
          <w:kern w:val="2"/>
          <w:sz w:val="32"/>
          <w:szCs w:val="32"/>
          <w:lang w:val="en-US" w:eastAsia="zh-CN"/>
        </w:rPr>
        <w:t>二、重点评价工作开展情况</w:t>
      </w:r>
      <w:bookmarkEnd w:id="63"/>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firstLine="640" w:firstLineChars="200"/>
        <w:jc w:val="left"/>
        <w:textAlignment w:val="auto"/>
        <w:rPr>
          <w:rFonts w:hint="eastAsia" w:ascii="仿宋_GB2312" w:eastAsia="仿宋_GB2312" w:hAnsiTheme="minorHAnsi"/>
          <w:kern w:val="2"/>
          <w:sz w:val="32"/>
          <w:szCs w:val="32"/>
          <w:lang w:val="en-US" w:eastAsia="zh-CN"/>
        </w:rPr>
      </w:pPr>
      <w:r>
        <w:rPr>
          <w:rFonts w:hint="eastAsia" w:ascii="仿宋_GB2312" w:eastAsia="仿宋_GB2312" w:hAnsiTheme="minorHAnsi"/>
          <w:kern w:val="2"/>
          <w:sz w:val="32"/>
          <w:szCs w:val="32"/>
          <w:lang w:val="en-US" w:eastAsia="zh-CN"/>
        </w:rPr>
        <w:t>本次重点绩效评价对象为龙华区2020年度体彩公益金，涉及</w:t>
      </w:r>
      <w:r>
        <w:rPr>
          <w:rFonts w:hint="eastAsia" w:ascii="仿宋_GB2312" w:eastAsia="仿宋_GB2312" w:cs="宋体" w:hAnsiTheme="minorHAnsi"/>
          <w:kern w:val="2"/>
          <w:sz w:val="32"/>
          <w:szCs w:val="32"/>
          <w:lang w:val="en-US" w:eastAsia="zh-CN" w:bidi="ar-SA"/>
        </w:rPr>
        <w:t>政府性基金</w:t>
      </w:r>
      <w:r>
        <w:rPr>
          <w:rFonts w:hint="eastAsia" w:ascii="仿宋_GB2312" w:eastAsia="仿宋_GB2312" w:cs="宋体" w:hAnsiTheme="minorHAnsi"/>
          <w:kern w:val="2"/>
          <w:sz w:val="32"/>
          <w:szCs w:val="32"/>
          <w:highlight w:val="none"/>
          <w:lang w:val="en-US" w:eastAsia="zh-CN" w:bidi="ar-SA"/>
        </w:rPr>
        <w:t>1,796.50万元</w:t>
      </w:r>
      <w:r>
        <w:rPr>
          <w:rFonts w:hint="eastAsia" w:ascii="仿宋_GB2312" w:eastAsia="仿宋_GB2312" w:hAnsiTheme="minorHAnsi"/>
          <w:kern w:val="2"/>
          <w:sz w:val="32"/>
          <w:szCs w:val="32"/>
          <w:lang w:val="en-US" w:eastAsia="zh-CN"/>
        </w:rPr>
        <w:t>。为全面评价资金使用效果，本次评价涵盖项目立项依据及流程、资金使用流程及资料、监督管理以及产生的效益等各个方面。</w:t>
      </w:r>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640" w:leftChars="0"/>
        <w:jc w:val="left"/>
        <w:textAlignment w:val="auto"/>
        <w:outlineLvl w:val="0"/>
        <w:rPr>
          <w:rFonts w:hint="eastAsia" w:ascii="Tahoma" w:hAnsi="Tahoma" w:eastAsia="微软雅黑" w:cstheme="minorBidi"/>
          <w:sz w:val="22"/>
          <w:szCs w:val="22"/>
          <w:lang w:val="en-US" w:eastAsia="zh-CN" w:bidi="ar-SA"/>
        </w:rPr>
      </w:pPr>
      <w:bookmarkStart w:id="64" w:name="_Toc28946"/>
      <w:r>
        <w:rPr>
          <w:rFonts w:hint="eastAsia" w:ascii="黑体" w:hAnsi="黑体" w:eastAsia="黑体" w:cs="黑体"/>
          <w:kern w:val="2"/>
          <w:sz w:val="32"/>
          <w:szCs w:val="32"/>
          <w:lang w:val="en-US" w:eastAsia="zh-CN"/>
        </w:rPr>
        <w:t>三、2020年度</w:t>
      </w:r>
      <w:r>
        <w:rPr>
          <w:rFonts w:hint="eastAsia" w:ascii="黑体" w:hAnsi="黑体" w:eastAsia="黑体" w:cs="黑体"/>
          <w:b w:val="0"/>
          <w:bCs w:val="0"/>
          <w:kern w:val="2"/>
          <w:sz w:val="32"/>
          <w:szCs w:val="32"/>
          <w:lang w:val="en-US" w:eastAsia="zh-CN"/>
        </w:rPr>
        <w:t>龙华</w:t>
      </w:r>
      <w:r>
        <w:rPr>
          <w:rFonts w:hint="eastAsia" w:ascii="黑体" w:hAnsi="黑体" w:eastAsia="黑体" w:cs="黑体"/>
          <w:kern w:val="2"/>
          <w:sz w:val="32"/>
          <w:szCs w:val="32"/>
          <w:lang w:val="en-US" w:eastAsia="zh-CN"/>
        </w:rPr>
        <w:t>区体彩公益金绩效评价</w:t>
      </w:r>
      <w:bookmarkEnd w:id="64"/>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both"/>
        <w:textAlignment w:val="auto"/>
        <w:rPr>
          <w:rFonts w:hint="eastAsia" w:ascii="仿宋_GB2312" w:eastAsia="仿宋_GB2312" w:hAnsiTheme="minorHAnsi"/>
          <w:kern w:val="2"/>
          <w:sz w:val="32"/>
          <w:szCs w:val="32"/>
          <w:lang w:val="en-US" w:eastAsia="zh-CN"/>
        </w:rPr>
      </w:pPr>
      <w:r>
        <w:rPr>
          <w:rFonts w:hint="eastAsia" w:ascii="仿宋_GB2312" w:eastAsia="仿宋_GB2312" w:hAnsiTheme="minorHAnsi"/>
          <w:kern w:val="2"/>
          <w:sz w:val="32"/>
          <w:szCs w:val="32"/>
          <w:lang w:val="en-US" w:eastAsia="zh-CN"/>
        </w:rPr>
        <w:t>使用龙华区2020年度体彩公益金实施的项目，一定程度上满足了辖区居民的日常锻炼需求，提高了居民参加体育活动的热情，增强了人们的健身意识。但是，项目实施未能进行充分监管</w:t>
      </w:r>
      <w:r>
        <w:rPr>
          <w:rFonts w:hint="eastAsia" w:ascii="仿宋_GB2312" w:eastAsia="仿宋_GB2312" w:hAnsiTheme="minorHAnsi"/>
          <w:kern w:val="2"/>
          <w:sz w:val="32"/>
          <w:szCs w:val="32"/>
          <w:highlight w:val="none"/>
          <w:lang w:val="en-US" w:eastAsia="zh-CN"/>
        </w:rPr>
        <w:t>，部分项目(如：购置体育设施投放于观澜版画基地、福苑工业区9栋等）未能真正惠及</w:t>
      </w:r>
      <w:r>
        <w:rPr>
          <w:rFonts w:hint="eastAsia" w:ascii="仿宋_GB2312" w:eastAsia="仿宋_GB2312" w:hAnsiTheme="minorHAnsi"/>
          <w:kern w:val="2"/>
          <w:sz w:val="32"/>
          <w:szCs w:val="32"/>
          <w:lang w:val="en-US" w:eastAsia="zh-CN"/>
        </w:rPr>
        <w:t>辖区居民。经评价小组综合打分，本次项目绩效评价最终得</w:t>
      </w:r>
      <w:r>
        <w:rPr>
          <w:rFonts w:hint="eastAsia" w:ascii="仿宋_GB2312" w:eastAsia="仿宋_GB2312" w:hAnsiTheme="minorHAnsi"/>
          <w:kern w:val="2"/>
          <w:sz w:val="32"/>
          <w:szCs w:val="32"/>
          <w:highlight w:val="none"/>
          <w:lang w:val="en-US" w:eastAsia="zh-CN"/>
        </w:rPr>
        <w:t>分73.78分，绩效等级为“中”</w:t>
      </w:r>
      <w:r>
        <w:rPr>
          <w:rFonts w:hint="eastAsia" w:ascii="仿宋_GB2312" w:eastAsia="仿宋_GB2312" w:hAnsiTheme="minorHAnsi"/>
          <w:kern w:val="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640" w:leftChars="0"/>
        <w:jc w:val="left"/>
        <w:textAlignment w:val="auto"/>
        <w:outlineLvl w:val="0"/>
        <w:rPr>
          <w:rFonts w:hint="eastAsia" w:ascii="黑体" w:hAnsi="黑体" w:eastAsia="黑体" w:cs="黑体"/>
          <w:kern w:val="2"/>
          <w:sz w:val="32"/>
          <w:szCs w:val="32"/>
          <w:lang w:val="en-US" w:eastAsia="zh-CN"/>
        </w:rPr>
      </w:pPr>
      <w:bookmarkStart w:id="65" w:name="_Toc475"/>
      <w:r>
        <w:rPr>
          <w:rFonts w:hint="eastAsia" w:ascii="黑体" w:hAnsi="黑体" w:eastAsia="黑体" w:cs="黑体"/>
          <w:kern w:val="2"/>
          <w:sz w:val="32"/>
          <w:szCs w:val="32"/>
          <w:lang w:val="en-US" w:eastAsia="zh-CN"/>
        </w:rPr>
        <w:t>四、取得的成效</w:t>
      </w:r>
      <w:bookmarkEnd w:id="65"/>
    </w:p>
    <w:p>
      <w:pPr>
        <w:keepNext w:val="0"/>
        <w:keepLines w:val="0"/>
        <w:pageBreakBefore w:val="0"/>
        <w:widowControl w:val="0"/>
        <w:numPr>
          <w:ilvl w:val="0"/>
          <w:numId w:val="0"/>
        </w:numPr>
        <w:tabs>
          <w:tab w:val="left" w:pos="1288"/>
        </w:tabs>
        <w:kinsoku/>
        <w:wordWrap/>
        <w:overflowPunct/>
        <w:topLinePunct w:val="0"/>
        <w:autoSpaceDE/>
        <w:autoSpaceDN/>
        <w:bidi w:val="0"/>
        <w:adjustRightInd w:val="0"/>
        <w:snapToGrid/>
        <w:spacing w:after="0" w:line="560" w:lineRule="exact"/>
        <w:ind w:left="0" w:leftChars="0" w:firstLine="640" w:firstLineChars="200"/>
        <w:jc w:val="both"/>
        <w:textAlignment w:val="auto"/>
        <w:rPr>
          <w:rFonts w:hint="eastAsia" w:ascii="仿宋_GB2312" w:eastAsia="仿宋_GB2312" w:hAnsiTheme="minorHAnsi"/>
          <w:kern w:val="2"/>
          <w:sz w:val="32"/>
          <w:szCs w:val="32"/>
          <w:highlight w:val="none"/>
          <w:lang w:val="en-US" w:eastAsia="zh-CN"/>
        </w:rPr>
      </w:pPr>
      <w:r>
        <w:rPr>
          <w:rFonts w:hint="eastAsia" w:ascii="仿宋_GB2312" w:eastAsia="仿宋_GB2312" w:hAnsiTheme="minorHAnsi"/>
          <w:kern w:val="2"/>
          <w:sz w:val="32"/>
          <w:szCs w:val="32"/>
          <w:highlight w:val="none"/>
          <w:lang w:val="en-US" w:eastAsia="zh-CN"/>
        </w:rPr>
        <w:t>2020年是深圳经济特区建立40周年，是跑好先行示范区建设“第一程”的关键之年，是高质量全面建成小康社会和“十三五”规划的收官之年。深圳市龙华区文化广电旅游体育局努力克服疫情影响，加大体育基础设施建设，积极开展群众身边的体育赛事活动，普及推动群众体育运动，大力推进体育产业工作，群众体育事业及体育产业工作取得了积极成效。</w:t>
      </w:r>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left"/>
        <w:textAlignment w:val="auto"/>
        <w:outlineLvl w:val="1"/>
        <w:rPr>
          <w:rFonts w:hint="default" w:ascii="楷体" w:hAnsi="楷体" w:eastAsia="楷体" w:cs="楷体"/>
          <w:b/>
          <w:bCs/>
          <w:kern w:val="2"/>
          <w:sz w:val="32"/>
          <w:szCs w:val="32"/>
          <w:lang w:val="en-US" w:eastAsia="zh-CN"/>
        </w:rPr>
      </w:pPr>
      <w:bookmarkStart w:id="66" w:name="_Toc25268"/>
      <w:r>
        <w:rPr>
          <w:rFonts w:hint="eastAsia" w:ascii="楷体" w:hAnsi="楷体" w:eastAsia="楷体" w:cs="楷体"/>
          <w:b/>
          <w:bCs/>
          <w:kern w:val="2"/>
          <w:sz w:val="32"/>
          <w:szCs w:val="32"/>
          <w:lang w:val="en-US" w:eastAsia="zh-CN"/>
        </w:rPr>
        <w:t>（一）</w:t>
      </w:r>
      <w:r>
        <w:rPr>
          <w:rFonts w:hint="default" w:ascii="楷体" w:hAnsi="楷体" w:eastAsia="楷体" w:cs="楷体"/>
          <w:b/>
          <w:bCs/>
          <w:kern w:val="2"/>
          <w:sz w:val="32"/>
          <w:szCs w:val="32"/>
          <w:lang w:val="en-US" w:eastAsia="zh-CN"/>
        </w:rPr>
        <w:t>体育基础设施建设</w:t>
      </w:r>
      <w:r>
        <w:rPr>
          <w:rFonts w:hint="eastAsia" w:ascii="楷体" w:hAnsi="楷体" w:eastAsia="楷体" w:cs="楷体"/>
          <w:b/>
          <w:bCs/>
          <w:kern w:val="2"/>
          <w:sz w:val="32"/>
          <w:szCs w:val="32"/>
          <w:lang w:val="en-US" w:eastAsia="zh-CN"/>
        </w:rPr>
        <w:t>工作</w:t>
      </w:r>
      <w:r>
        <w:rPr>
          <w:rFonts w:hint="default" w:ascii="楷体" w:hAnsi="楷体" w:eastAsia="楷体" w:cs="楷体"/>
          <w:b/>
          <w:bCs/>
          <w:kern w:val="2"/>
          <w:sz w:val="32"/>
          <w:szCs w:val="32"/>
          <w:lang w:val="en-US" w:eastAsia="zh-CN"/>
        </w:rPr>
        <w:t>持续推进</w:t>
      </w:r>
      <w:bookmarkEnd w:id="66"/>
    </w:p>
    <w:p>
      <w:pPr>
        <w:keepNext w:val="0"/>
        <w:keepLines w:val="0"/>
        <w:pageBreakBefore w:val="0"/>
        <w:widowControl w:val="0"/>
        <w:numPr>
          <w:ilvl w:val="0"/>
          <w:numId w:val="0"/>
        </w:numPr>
        <w:tabs>
          <w:tab w:val="left" w:pos="1288"/>
        </w:tabs>
        <w:kinsoku/>
        <w:wordWrap/>
        <w:overflowPunct/>
        <w:topLinePunct w:val="0"/>
        <w:autoSpaceDE/>
        <w:autoSpaceDN/>
        <w:bidi w:val="0"/>
        <w:adjustRightInd w:val="0"/>
        <w:snapToGrid/>
        <w:spacing w:after="0" w:line="560" w:lineRule="exact"/>
        <w:ind w:left="0" w:leftChars="0" w:firstLine="640" w:firstLineChars="200"/>
        <w:jc w:val="left"/>
        <w:textAlignment w:val="auto"/>
        <w:rPr>
          <w:rFonts w:hint="eastAsia" w:ascii="仿宋_GB2312" w:eastAsia="仿宋_GB2312" w:hAnsiTheme="minorHAnsi"/>
          <w:kern w:val="2"/>
          <w:sz w:val="32"/>
          <w:szCs w:val="32"/>
          <w:highlight w:val="none"/>
          <w:lang w:val="en-US" w:eastAsia="zh-CN"/>
        </w:rPr>
      </w:pPr>
      <w:r>
        <w:rPr>
          <w:rFonts w:hint="eastAsia" w:ascii="仿宋_GB2312" w:eastAsia="仿宋_GB2312" w:hAnsiTheme="minorHAnsi"/>
          <w:kern w:val="2"/>
          <w:sz w:val="32"/>
          <w:szCs w:val="32"/>
          <w:highlight w:val="none"/>
          <w:lang w:val="en-US" w:eastAsia="zh-CN"/>
        </w:rPr>
        <w:t>龙华区文体局完成了2020年度公益性体育设施项目的采购及投放工作，共投放5套健身路径</w:t>
      </w:r>
      <w:r>
        <w:rPr>
          <w:rStyle w:val="24"/>
          <w:rFonts w:hint="eastAsia" w:ascii="仿宋_GB2312" w:eastAsia="仿宋_GB2312" w:hAnsiTheme="minorHAnsi"/>
          <w:kern w:val="2"/>
          <w:sz w:val="32"/>
          <w:szCs w:val="32"/>
          <w:highlight w:val="none"/>
          <w:lang w:val="en-US" w:eastAsia="zh-CN"/>
        </w:rPr>
        <w:footnoteReference w:id="0"/>
      </w:r>
      <w:r>
        <w:rPr>
          <w:rFonts w:hint="eastAsia" w:ascii="仿宋_GB2312" w:eastAsia="仿宋_GB2312" w:hAnsiTheme="minorHAnsi"/>
          <w:kern w:val="2"/>
          <w:sz w:val="32"/>
          <w:szCs w:val="32"/>
          <w:highlight w:val="none"/>
          <w:lang w:val="en-US" w:eastAsia="zh-CN"/>
        </w:rPr>
        <w:t>、2套室外智能健身房、3块足球场、1块篮球场、70台乒乓球台，极大丰富了龙华区公益性体育设施品类，同时，设施投放地点涵盖了龙华区下辖六个街道，实现了受益区域全面覆盖，极大的提升了辖区体育健身设施水平。</w:t>
      </w:r>
    </w:p>
    <w:p>
      <w:pPr>
        <w:keepNext w:val="0"/>
        <w:keepLines w:val="0"/>
        <w:pageBreakBefore w:val="0"/>
        <w:widowControl w:val="0"/>
        <w:numPr>
          <w:ilvl w:val="0"/>
          <w:numId w:val="0"/>
        </w:numPr>
        <w:tabs>
          <w:tab w:val="left" w:pos="1288"/>
        </w:tabs>
        <w:kinsoku/>
        <w:wordWrap/>
        <w:overflowPunct/>
        <w:topLinePunct w:val="0"/>
        <w:autoSpaceDE/>
        <w:autoSpaceDN/>
        <w:bidi w:val="0"/>
        <w:adjustRightInd w:val="0"/>
        <w:snapToGrid/>
        <w:spacing w:after="0" w:line="560" w:lineRule="exact"/>
        <w:ind w:left="0" w:leftChars="0" w:firstLine="640" w:firstLineChars="200"/>
        <w:jc w:val="both"/>
        <w:textAlignment w:val="auto"/>
        <w:rPr>
          <w:rFonts w:hint="eastAsia" w:ascii="仿宋_GB2312" w:eastAsia="仿宋_GB2312" w:hAnsiTheme="minorHAnsi"/>
          <w:kern w:val="2"/>
          <w:sz w:val="32"/>
          <w:szCs w:val="32"/>
          <w:highlight w:val="none"/>
          <w:lang w:val="en-US" w:eastAsia="zh-CN"/>
        </w:rPr>
      </w:pPr>
      <w:r>
        <w:rPr>
          <w:rFonts w:hint="eastAsia" w:ascii="仿宋_GB2312" w:eastAsia="仿宋_GB2312" w:hAnsiTheme="minorHAnsi"/>
          <w:kern w:val="2"/>
          <w:sz w:val="32"/>
          <w:szCs w:val="32"/>
          <w:highlight w:val="none"/>
          <w:lang w:val="en-US" w:eastAsia="zh-CN"/>
        </w:rPr>
        <w:t>通过</w:t>
      </w:r>
      <w:r>
        <w:rPr>
          <w:rFonts w:hint="default" w:ascii="仿宋_GB2312" w:eastAsia="仿宋_GB2312" w:hAnsiTheme="minorHAnsi"/>
          <w:kern w:val="2"/>
          <w:sz w:val="32"/>
          <w:szCs w:val="32"/>
          <w:highlight w:val="none"/>
          <w:lang w:val="en-US" w:eastAsia="zh-CN"/>
        </w:rPr>
        <w:t>整合全区体育监管资源，创新公益性体育设施管理养护方案，开创公益性体育设施管理新模式，全年完成公益性体育设施器材维修130多处，有效指导辖区居民科学健身，推动我区全民健身运动全面深入开展</w:t>
      </w:r>
      <w:r>
        <w:rPr>
          <w:rFonts w:hint="eastAsia" w:ascii="仿宋_GB2312" w:eastAsia="仿宋_GB2312" w:hAnsiTheme="minorHAnsi"/>
          <w:kern w:val="2"/>
          <w:sz w:val="32"/>
          <w:szCs w:val="32"/>
          <w:highlight w:val="none"/>
          <w:lang w:val="en-US" w:eastAsia="zh-CN"/>
        </w:rPr>
        <w:t>。</w:t>
      </w:r>
    </w:p>
    <w:p>
      <w:pPr>
        <w:keepNext w:val="0"/>
        <w:keepLines w:val="0"/>
        <w:pageBreakBefore w:val="0"/>
        <w:widowControl w:val="0"/>
        <w:numPr>
          <w:ilvl w:val="0"/>
          <w:numId w:val="0"/>
        </w:numPr>
        <w:tabs>
          <w:tab w:val="left" w:pos="1288"/>
        </w:tabs>
        <w:kinsoku/>
        <w:wordWrap/>
        <w:overflowPunct/>
        <w:topLinePunct w:val="0"/>
        <w:autoSpaceDE/>
        <w:autoSpaceDN/>
        <w:bidi w:val="0"/>
        <w:adjustRightInd w:val="0"/>
        <w:snapToGrid/>
        <w:spacing w:after="0" w:line="560" w:lineRule="exact"/>
        <w:ind w:left="0" w:leftChars="0" w:firstLine="640" w:firstLineChars="200"/>
        <w:jc w:val="both"/>
        <w:textAlignment w:val="auto"/>
        <w:rPr>
          <w:rFonts w:hint="default" w:ascii="仿宋_GB2312" w:eastAsia="仿宋_GB2312" w:hAnsiTheme="minorHAnsi"/>
          <w:kern w:val="2"/>
          <w:sz w:val="32"/>
          <w:szCs w:val="32"/>
          <w:highlight w:val="none"/>
          <w:lang w:val="en-US" w:eastAsia="zh-CN"/>
        </w:rPr>
      </w:pPr>
      <w:r>
        <w:rPr>
          <w:rFonts w:hint="eastAsia" w:ascii="仿宋_GB2312" w:eastAsia="仿宋_GB2312" w:hAnsiTheme="minorHAnsi"/>
          <w:kern w:val="2"/>
          <w:sz w:val="32"/>
          <w:szCs w:val="32"/>
          <w:highlight w:val="none"/>
          <w:lang w:val="en-US" w:eastAsia="zh-CN"/>
        </w:rPr>
        <w:t>与此同时，评价小组对受益群体进行满意度问卷调查得知，2020年度，受益群众对体育基础设施建设工作的满意度为92.50%，整体满意度较高，极大的发挥了体彩公益金的社会效益，保证了体育基础设施建设工作的持续推进。</w:t>
      </w:r>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firstLine="640" w:firstLineChars="200"/>
        <w:jc w:val="left"/>
        <w:textAlignment w:val="auto"/>
        <w:outlineLvl w:val="1"/>
        <w:rPr>
          <w:rFonts w:hint="eastAsia" w:ascii="楷体" w:hAnsi="楷体" w:eastAsia="楷体" w:cs="楷体"/>
          <w:b/>
          <w:bCs/>
          <w:kern w:val="2"/>
          <w:sz w:val="32"/>
          <w:szCs w:val="32"/>
          <w:lang w:val="en-US" w:eastAsia="zh-CN"/>
        </w:rPr>
      </w:pPr>
      <w:bookmarkStart w:id="67" w:name="_Toc7857"/>
      <w:r>
        <w:rPr>
          <w:rFonts w:hint="eastAsia" w:ascii="楷体" w:hAnsi="楷体" w:eastAsia="楷体" w:cs="楷体"/>
          <w:b/>
          <w:bCs/>
          <w:kern w:val="2"/>
          <w:sz w:val="32"/>
          <w:szCs w:val="32"/>
          <w:lang w:val="en-US" w:eastAsia="zh-CN"/>
        </w:rPr>
        <w:t>（二）全民健身活动规范有序开展并取得历史性突破</w:t>
      </w:r>
      <w:bookmarkEnd w:id="67"/>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left"/>
        <w:textAlignment w:val="auto"/>
        <w:outlineLvl w:val="1"/>
        <w:rPr>
          <w:rFonts w:hint="default" w:ascii="楷体" w:hAnsi="楷体" w:eastAsia="楷体" w:cs="楷体"/>
          <w:b/>
          <w:bCs/>
          <w:kern w:val="2"/>
          <w:sz w:val="32"/>
          <w:szCs w:val="32"/>
          <w:lang w:val="en-US" w:eastAsia="zh-CN"/>
        </w:rPr>
      </w:pPr>
      <w:bookmarkStart w:id="68" w:name="_Toc30477"/>
      <w:r>
        <w:rPr>
          <w:rFonts w:hint="eastAsia" w:ascii="仿宋_GB2312" w:eastAsia="仿宋_GB2312" w:hAnsiTheme="minorHAnsi"/>
          <w:b/>
          <w:bCs/>
          <w:kern w:val="2"/>
          <w:sz w:val="32"/>
          <w:szCs w:val="32"/>
          <w:lang w:val="en-US" w:eastAsia="zh-CN"/>
        </w:rPr>
        <w:t>1.</w:t>
      </w:r>
      <w:r>
        <w:rPr>
          <w:rFonts w:hint="default" w:ascii="仿宋_GB2312" w:eastAsia="仿宋_GB2312" w:hAnsiTheme="minorHAnsi"/>
          <w:b/>
          <w:bCs/>
          <w:kern w:val="2"/>
          <w:sz w:val="32"/>
          <w:szCs w:val="32"/>
          <w:lang w:val="en-US" w:eastAsia="zh-CN"/>
        </w:rPr>
        <w:t>疫情防控下</w:t>
      </w:r>
      <w:r>
        <w:rPr>
          <w:rFonts w:hint="eastAsia" w:ascii="仿宋_GB2312" w:eastAsia="仿宋_GB2312" w:hAnsiTheme="minorHAnsi"/>
          <w:b/>
          <w:bCs/>
          <w:kern w:val="2"/>
          <w:sz w:val="32"/>
          <w:szCs w:val="32"/>
          <w:lang w:val="en-US" w:eastAsia="zh-CN"/>
        </w:rPr>
        <w:t>全民健身</w:t>
      </w:r>
      <w:r>
        <w:rPr>
          <w:rFonts w:hint="default" w:ascii="仿宋_GB2312" w:eastAsia="仿宋_GB2312" w:hAnsiTheme="minorHAnsi"/>
          <w:b/>
          <w:bCs/>
          <w:kern w:val="2"/>
          <w:sz w:val="32"/>
          <w:szCs w:val="32"/>
          <w:lang w:val="en-US" w:eastAsia="zh-CN"/>
        </w:rPr>
        <w:t>活动规范有序开展</w:t>
      </w:r>
      <w:bookmarkEnd w:id="68"/>
    </w:p>
    <w:p>
      <w:pPr>
        <w:keepNext w:val="0"/>
        <w:keepLines w:val="0"/>
        <w:pageBreakBefore w:val="0"/>
        <w:widowControl w:val="0"/>
        <w:numPr>
          <w:ilvl w:val="0"/>
          <w:numId w:val="0"/>
        </w:numPr>
        <w:tabs>
          <w:tab w:val="left" w:pos="1288"/>
        </w:tabs>
        <w:kinsoku/>
        <w:wordWrap/>
        <w:overflowPunct/>
        <w:topLinePunct w:val="0"/>
        <w:autoSpaceDE/>
        <w:autoSpaceDN/>
        <w:bidi w:val="0"/>
        <w:adjustRightInd w:val="0"/>
        <w:snapToGrid/>
        <w:spacing w:after="0" w:line="560" w:lineRule="exact"/>
        <w:ind w:left="0" w:leftChars="0" w:firstLine="640" w:firstLineChars="200"/>
        <w:jc w:val="left"/>
        <w:textAlignment w:val="auto"/>
        <w:rPr>
          <w:rFonts w:hint="eastAsia" w:ascii="仿宋_GB2312" w:eastAsia="仿宋_GB2312" w:hAnsiTheme="minorHAnsi"/>
          <w:kern w:val="2"/>
          <w:sz w:val="32"/>
          <w:szCs w:val="32"/>
          <w:highlight w:val="none"/>
          <w:lang w:val="en-US" w:eastAsia="zh-CN"/>
        </w:rPr>
      </w:pPr>
      <w:r>
        <w:rPr>
          <w:rFonts w:hint="eastAsia" w:ascii="仿宋_GB2312" w:eastAsia="仿宋_GB2312" w:hAnsiTheme="minorHAnsi"/>
          <w:kern w:val="2"/>
          <w:sz w:val="32"/>
          <w:szCs w:val="32"/>
          <w:highlight w:val="none"/>
          <w:lang w:val="en-US" w:eastAsia="zh-CN"/>
        </w:rPr>
        <w:t>龙华区文体局</w:t>
      </w:r>
      <w:r>
        <w:rPr>
          <w:rFonts w:hint="default" w:ascii="仿宋_GB2312" w:eastAsia="仿宋_GB2312" w:hAnsiTheme="minorHAnsi"/>
          <w:kern w:val="2"/>
          <w:sz w:val="32"/>
          <w:szCs w:val="32"/>
          <w:highlight w:val="none"/>
          <w:lang w:val="en-US" w:eastAsia="zh-CN"/>
        </w:rPr>
        <w:t>结合疫情态势，适时调整</w:t>
      </w:r>
      <w:r>
        <w:rPr>
          <w:rFonts w:hint="eastAsia" w:ascii="仿宋_GB2312" w:eastAsia="仿宋_GB2312" w:hAnsiTheme="minorHAnsi"/>
          <w:kern w:val="2"/>
          <w:sz w:val="32"/>
          <w:szCs w:val="32"/>
          <w:highlight w:val="none"/>
          <w:lang w:val="en-US" w:eastAsia="zh-CN"/>
        </w:rPr>
        <w:t>全民健身</w:t>
      </w:r>
      <w:r>
        <w:rPr>
          <w:rFonts w:hint="default" w:ascii="仿宋_GB2312" w:eastAsia="仿宋_GB2312" w:hAnsiTheme="minorHAnsi"/>
          <w:kern w:val="2"/>
          <w:sz w:val="32"/>
          <w:szCs w:val="32"/>
          <w:highlight w:val="none"/>
          <w:lang w:val="en-US" w:eastAsia="zh-CN"/>
        </w:rPr>
        <w:t>活动的开展方式</w:t>
      </w:r>
      <w:r>
        <w:rPr>
          <w:rFonts w:hint="eastAsia" w:ascii="仿宋_GB2312" w:eastAsia="仿宋_GB2312" w:hAnsiTheme="minorHAnsi"/>
          <w:kern w:val="2"/>
          <w:sz w:val="32"/>
          <w:szCs w:val="32"/>
          <w:highlight w:val="none"/>
          <w:lang w:val="en-US" w:eastAsia="zh-CN"/>
        </w:rPr>
        <w:t>，保证了全民健身活动的有序开展</w:t>
      </w:r>
      <w:r>
        <w:rPr>
          <w:rFonts w:hint="default" w:ascii="仿宋_GB2312" w:eastAsia="仿宋_GB2312" w:hAnsiTheme="minorHAnsi"/>
          <w:kern w:val="2"/>
          <w:sz w:val="32"/>
          <w:szCs w:val="32"/>
          <w:highlight w:val="none"/>
          <w:lang w:val="en-US" w:eastAsia="zh-CN"/>
        </w:rPr>
        <w:t>。</w:t>
      </w:r>
      <w:r>
        <w:rPr>
          <w:rFonts w:hint="eastAsia" w:ascii="仿宋_GB2312" w:eastAsia="仿宋_GB2312" w:hAnsiTheme="minorHAnsi"/>
          <w:kern w:val="2"/>
          <w:sz w:val="32"/>
          <w:szCs w:val="32"/>
          <w:highlight w:val="none"/>
          <w:lang w:val="en-US" w:eastAsia="zh-CN"/>
        </w:rPr>
        <w:t>在</w:t>
      </w:r>
      <w:r>
        <w:rPr>
          <w:rFonts w:hint="default" w:ascii="仿宋_GB2312" w:eastAsia="仿宋_GB2312" w:hAnsiTheme="minorHAnsi"/>
          <w:kern w:val="2"/>
          <w:sz w:val="32"/>
          <w:szCs w:val="32"/>
          <w:highlight w:val="none"/>
          <w:lang w:val="en-US" w:eastAsia="zh-CN"/>
        </w:rPr>
        <w:t>疫后重振期，为响应“全市动起来”的号召，开展</w:t>
      </w:r>
      <w:r>
        <w:rPr>
          <w:rFonts w:hint="eastAsia" w:ascii="仿宋_GB2312" w:eastAsia="仿宋_GB2312" w:hAnsiTheme="minorHAnsi"/>
          <w:kern w:val="2"/>
          <w:sz w:val="32"/>
          <w:szCs w:val="32"/>
          <w:highlight w:val="none"/>
          <w:lang w:val="en-US" w:eastAsia="zh-CN"/>
        </w:rPr>
        <w:t>了</w:t>
      </w:r>
      <w:r>
        <w:rPr>
          <w:rFonts w:hint="default" w:ascii="仿宋_GB2312" w:eastAsia="仿宋_GB2312" w:hAnsiTheme="minorHAnsi"/>
          <w:kern w:val="2"/>
          <w:sz w:val="32"/>
          <w:szCs w:val="32"/>
          <w:highlight w:val="none"/>
          <w:lang w:val="en-US" w:eastAsia="zh-CN"/>
        </w:rPr>
        <w:t>阳台山绿道健身跑活动，以及龙华区“全民健身日”阳台山越野行走节山地挑战赛</w:t>
      </w:r>
      <w:r>
        <w:rPr>
          <w:rFonts w:hint="eastAsia" w:ascii="仿宋_GB2312" w:eastAsia="仿宋_GB2312" w:hAnsiTheme="minorHAnsi"/>
          <w:kern w:val="2"/>
          <w:sz w:val="32"/>
          <w:szCs w:val="32"/>
          <w:highlight w:val="none"/>
          <w:lang w:val="en-US" w:eastAsia="zh-CN"/>
        </w:rPr>
        <w:t>等活动</w:t>
      </w:r>
      <w:r>
        <w:rPr>
          <w:rFonts w:hint="default" w:ascii="仿宋_GB2312" w:eastAsia="仿宋_GB2312" w:hAnsiTheme="minorHAnsi"/>
          <w:kern w:val="2"/>
          <w:sz w:val="32"/>
          <w:szCs w:val="32"/>
          <w:highlight w:val="none"/>
          <w:lang w:val="en-US" w:eastAsia="zh-CN"/>
        </w:rPr>
        <w:t>，呼吁市民强身健体，共抗疫情；</w:t>
      </w:r>
      <w:r>
        <w:rPr>
          <w:rFonts w:hint="eastAsia" w:ascii="仿宋_GB2312" w:eastAsia="仿宋_GB2312" w:hAnsiTheme="minorHAnsi"/>
          <w:kern w:val="2"/>
          <w:sz w:val="32"/>
          <w:szCs w:val="32"/>
          <w:highlight w:val="none"/>
          <w:lang w:val="en-US" w:eastAsia="zh-CN"/>
        </w:rPr>
        <w:t>除此外，</w:t>
      </w:r>
      <w:r>
        <w:rPr>
          <w:rFonts w:hint="default" w:ascii="仿宋_GB2312" w:eastAsia="仿宋_GB2312" w:hAnsiTheme="minorHAnsi"/>
          <w:kern w:val="2"/>
          <w:sz w:val="32"/>
          <w:szCs w:val="32"/>
          <w:highlight w:val="none"/>
          <w:lang w:val="en-US" w:eastAsia="zh-CN"/>
        </w:rPr>
        <w:t>继续开展长跑日及全民健身月</w:t>
      </w:r>
      <w:r>
        <w:rPr>
          <w:rFonts w:hint="eastAsia" w:ascii="仿宋_GB2312" w:eastAsia="仿宋_GB2312" w:hAnsiTheme="minorHAnsi"/>
          <w:kern w:val="2"/>
          <w:sz w:val="32"/>
          <w:szCs w:val="32"/>
          <w:highlight w:val="none"/>
          <w:lang w:val="en-US" w:eastAsia="zh-CN"/>
        </w:rPr>
        <w:t>七</w:t>
      </w:r>
      <w:r>
        <w:rPr>
          <w:rFonts w:hint="default" w:ascii="仿宋_GB2312" w:eastAsia="仿宋_GB2312" w:hAnsiTheme="minorHAnsi"/>
          <w:kern w:val="2"/>
          <w:sz w:val="32"/>
          <w:szCs w:val="32"/>
          <w:highlight w:val="none"/>
          <w:lang w:val="en-US" w:eastAsia="zh-CN"/>
        </w:rPr>
        <w:t>大类群众赛事、“体彩杯”系列体育赛事、第十六届来深青工文体节网球赛“龙华杯”首届羽毛球公开赛、“龙华杯”第二届青少年三人篮球赛等</w:t>
      </w:r>
      <w:r>
        <w:rPr>
          <w:rFonts w:hint="eastAsia" w:ascii="仿宋_GB2312" w:eastAsia="仿宋_GB2312" w:hAnsiTheme="minorHAnsi"/>
          <w:kern w:val="2"/>
          <w:sz w:val="32"/>
          <w:szCs w:val="32"/>
          <w:highlight w:val="none"/>
          <w:lang w:val="en-US" w:eastAsia="zh-CN"/>
        </w:rPr>
        <w:t>活动</w:t>
      </w:r>
      <w:r>
        <w:rPr>
          <w:rFonts w:hint="default" w:ascii="仿宋_GB2312" w:eastAsia="仿宋_GB2312" w:hAnsiTheme="minorHAnsi"/>
          <w:kern w:val="2"/>
          <w:sz w:val="32"/>
          <w:szCs w:val="32"/>
          <w:highlight w:val="none"/>
          <w:lang w:val="en-US" w:eastAsia="zh-CN"/>
        </w:rPr>
        <w:t>，涵盖老、中、青不同</w:t>
      </w:r>
      <w:r>
        <w:rPr>
          <w:rFonts w:hint="eastAsia" w:ascii="仿宋_GB2312" w:eastAsia="仿宋_GB2312" w:hAnsiTheme="minorHAnsi"/>
          <w:kern w:val="2"/>
          <w:sz w:val="32"/>
          <w:szCs w:val="32"/>
          <w:highlight w:val="none"/>
          <w:lang w:val="en-US" w:eastAsia="zh-CN"/>
        </w:rPr>
        <w:t>年龄</w:t>
      </w:r>
      <w:r>
        <w:rPr>
          <w:rFonts w:hint="default" w:ascii="仿宋_GB2312" w:eastAsia="仿宋_GB2312" w:hAnsiTheme="minorHAnsi"/>
          <w:kern w:val="2"/>
          <w:sz w:val="32"/>
          <w:szCs w:val="32"/>
          <w:highlight w:val="none"/>
          <w:lang w:val="en-US" w:eastAsia="zh-CN"/>
        </w:rPr>
        <w:t>段以及机关群众、社会群众、企业不同行业的人群。</w:t>
      </w:r>
      <w:r>
        <w:rPr>
          <w:rFonts w:hint="eastAsia" w:ascii="仿宋_GB2312" w:eastAsia="仿宋_GB2312" w:hAnsiTheme="minorHAnsi"/>
          <w:kern w:val="2"/>
          <w:sz w:val="32"/>
          <w:szCs w:val="32"/>
          <w:highlight w:val="none"/>
          <w:lang w:val="en-US" w:eastAsia="zh-CN"/>
        </w:rPr>
        <w:t>与此同时，龙华区文体局在开展相关活动的过程中并未疏忽疫情防控工作，坚持做到早谋划、强措施、全覆盖、严督导的原则，进一步压实防控责任，实现了活动参与人员“零感染”。</w:t>
      </w:r>
    </w:p>
    <w:p>
      <w:pPr>
        <w:keepNext w:val="0"/>
        <w:keepLines w:val="0"/>
        <w:pageBreakBefore w:val="0"/>
        <w:widowControl w:val="0"/>
        <w:numPr>
          <w:ilvl w:val="0"/>
          <w:numId w:val="0"/>
        </w:numPr>
        <w:tabs>
          <w:tab w:val="left" w:pos="1288"/>
        </w:tabs>
        <w:kinsoku/>
        <w:wordWrap/>
        <w:overflowPunct/>
        <w:topLinePunct w:val="0"/>
        <w:autoSpaceDE/>
        <w:autoSpaceDN/>
        <w:bidi w:val="0"/>
        <w:adjustRightInd w:val="0"/>
        <w:snapToGrid/>
        <w:spacing w:after="0" w:line="560" w:lineRule="exact"/>
        <w:ind w:left="0" w:leftChars="0" w:firstLine="640" w:firstLineChars="200"/>
        <w:jc w:val="both"/>
        <w:textAlignment w:val="auto"/>
        <w:rPr>
          <w:rFonts w:hint="default" w:ascii="仿宋_GB2312" w:eastAsia="仿宋_GB2312" w:hAnsiTheme="minorHAnsi"/>
          <w:kern w:val="2"/>
          <w:sz w:val="32"/>
          <w:szCs w:val="32"/>
          <w:highlight w:val="none"/>
          <w:lang w:val="en-US" w:eastAsia="zh-CN"/>
        </w:rPr>
      </w:pPr>
      <w:r>
        <w:rPr>
          <w:rFonts w:hint="eastAsia" w:ascii="仿宋_GB2312" w:eastAsia="仿宋_GB2312" w:hAnsiTheme="minorHAnsi"/>
          <w:kern w:val="2"/>
          <w:sz w:val="32"/>
          <w:szCs w:val="32"/>
          <w:highlight w:val="none"/>
          <w:lang w:val="en-US" w:eastAsia="zh-CN"/>
        </w:rPr>
        <w:t>龙华区成功克服了疫情影响，保证了全民健身活动的</w:t>
      </w:r>
      <w:r>
        <w:rPr>
          <w:rFonts w:hint="default" w:ascii="仿宋_GB2312" w:eastAsia="仿宋_GB2312" w:hAnsiTheme="minorHAnsi"/>
          <w:kern w:val="2"/>
          <w:sz w:val="32"/>
          <w:szCs w:val="32"/>
          <w:highlight w:val="none"/>
          <w:lang w:val="en-US" w:eastAsia="zh-CN"/>
        </w:rPr>
        <w:t>规范有序开展</w:t>
      </w:r>
      <w:r>
        <w:rPr>
          <w:rFonts w:hint="eastAsia" w:ascii="仿宋_GB2312" w:eastAsia="仿宋_GB2312" w:hAnsiTheme="minorHAnsi"/>
          <w:kern w:val="2"/>
          <w:sz w:val="32"/>
          <w:szCs w:val="32"/>
          <w:highlight w:val="none"/>
          <w:lang w:val="en-US" w:eastAsia="zh-CN"/>
        </w:rPr>
        <w:t>，并获得了辖区居民的认可。由满意度问卷调查得知，辖区居民对2020年度举办的全民健身活动满意度为96.33%，整体满意度较高，极大的发挥了体彩公益金的效益。</w:t>
      </w:r>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left"/>
        <w:textAlignment w:val="auto"/>
        <w:outlineLvl w:val="1"/>
        <w:rPr>
          <w:rFonts w:hint="default" w:ascii="仿宋_GB2312" w:eastAsia="仿宋_GB2312" w:hAnsiTheme="minorHAnsi"/>
          <w:b/>
          <w:bCs/>
          <w:kern w:val="2"/>
          <w:sz w:val="32"/>
          <w:szCs w:val="32"/>
          <w:lang w:val="en-US" w:eastAsia="zh-CN"/>
        </w:rPr>
      </w:pPr>
      <w:bookmarkStart w:id="69" w:name="_Toc4397"/>
      <w:r>
        <w:rPr>
          <w:rFonts w:hint="eastAsia" w:ascii="仿宋_GB2312" w:eastAsia="仿宋_GB2312" w:hAnsiTheme="minorHAnsi"/>
          <w:b/>
          <w:bCs/>
          <w:kern w:val="2"/>
          <w:sz w:val="32"/>
          <w:szCs w:val="32"/>
          <w:lang w:val="en-US" w:eastAsia="zh-CN"/>
        </w:rPr>
        <w:t>2.全民健身</w:t>
      </w:r>
      <w:r>
        <w:rPr>
          <w:rFonts w:hint="default" w:ascii="仿宋_GB2312" w:eastAsia="仿宋_GB2312" w:hAnsiTheme="minorHAnsi"/>
          <w:b/>
          <w:bCs/>
          <w:kern w:val="2"/>
          <w:sz w:val="32"/>
          <w:szCs w:val="32"/>
          <w:lang w:val="en-US" w:eastAsia="zh-CN"/>
        </w:rPr>
        <w:t>活动</w:t>
      </w:r>
      <w:r>
        <w:rPr>
          <w:rFonts w:hint="eastAsia" w:ascii="仿宋_GB2312" w:eastAsia="仿宋_GB2312" w:hAnsiTheme="minorHAnsi"/>
          <w:b/>
          <w:bCs/>
          <w:kern w:val="2"/>
          <w:sz w:val="32"/>
          <w:szCs w:val="32"/>
          <w:lang w:val="en-US" w:eastAsia="zh-CN"/>
        </w:rPr>
        <w:t>开展态势良好，</w:t>
      </w:r>
      <w:r>
        <w:rPr>
          <w:rFonts w:hint="default" w:ascii="仿宋_GB2312" w:eastAsia="仿宋_GB2312" w:hAnsiTheme="minorHAnsi"/>
          <w:b/>
          <w:bCs/>
          <w:kern w:val="2"/>
          <w:sz w:val="32"/>
          <w:szCs w:val="32"/>
          <w:lang w:val="en-US" w:eastAsia="zh-CN"/>
        </w:rPr>
        <w:t>全民健身服务指导网络</w:t>
      </w:r>
      <w:r>
        <w:rPr>
          <w:rFonts w:hint="eastAsia" w:ascii="仿宋_GB2312" w:eastAsia="仿宋_GB2312" w:hAnsiTheme="minorHAnsi"/>
          <w:b/>
          <w:bCs/>
          <w:kern w:val="2"/>
          <w:sz w:val="32"/>
          <w:szCs w:val="32"/>
          <w:lang w:val="en-US" w:eastAsia="zh-CN"/>
        </w:rPr>
        <w:t>积极</w:t>
      </w:r>
      <w:r>
        <w:rPr>
          <w:rFonts w:hint="default" w:ascii="仿宋_GB2312" w:eastAsia="仿宋_GB2312" w:hAnsiTheme="minorHAnsi"/>
          <w:b/>
          <w:bCs/>
          <w:kern w:val="2"/>
          <w:sz w:val="32"/>
          <w:szCs w:val="32"/>
          <w:lang w:val="en-US" w:eastAsia="zh-CN"/>
        </w:rPr>
        <w:t>构建</w:t>
      </w:r>
      <w:bookmarkEnd w:id="69"/>
    </w:p>
    <w:p>
      <w:pPr>
        <w:keepNext w:val="0"/>
        <w:keepLines w:val="0"/>
        <w:pageBreakBefore w:val="0"/>
        <w:widowControl w:val="0"/>
        <w:numPr>
          <w:ilvl w:val="0"/>
          <w:numId w:val="0"/>
        </w:numPr>
        <w:tabs>
          <w:tab w:val="left" w:pos="1288"/>
        </w:tabs>
        <w:kinsoku/>
        <w:wordWrap/>
        <w:overflowPunct/>
        <w:topLinePunct w:val="0"/>
        <w:autoSpaceDE/>
        <w:autoSpaceDN/>
        <w:bidi w:val="0"/>
        <w:adjustRightInd w:val="0"/>
        <w:snapToGrid/>
        <w:spacing w:after="0" w:line="560" w:lineRule="exact"/>
        <w:ind w:left="0" w:leftChars="0" w:firstLine="640" w:firstLineChars="200"/>
        <w:jc w:val="left"/>
        <w:textAlignment w:val="auto"/>
        <w:rPr>
          <w:rFonts w:hint="default" w:ascii="仿宋_GB2312" w:eastAsia="仿宋_GB2312" w:hAnsiTheme="minorHAnsi"/>
          <w:kern w:val="2"/>
          <w:sz w:val="32"/>
          <w:szCs w:val="32"/>
          <w:highlight w:val="none"/>
          <w:lang w:val="en-US" w:eastAsia="zh-CN"/>
        </w:rPr>
      </w:pPr>
      <w:r>
        <w:rPr>
          <w:rFonts w:hint="eastAsia" w:ascii="仿宋_GB2312" w:eastAsia="仿宋_GB2312" w:hAnsiTheme="minorHAnsi"/>
          <w:kern w:val="2"/>
          <w:sz w:val="32"/>
          <w:szCs w:val="32"/>
          <w:highlight w:val="none"/>
          <w:lang w:val="en-US" w:eastAsia="zh-CN"/>
        </w:rPr>
        <w:t>2020年度，龙华区文体局参考历年全民健身活动开展情况，</w:t>
      </w:r>
      <w:r>
        <w:rPr>
          <w:rFonts w:hint="default" w:ascii="仿宋_GB2312" w:eastAsia="仿宋_GB2312" w:hAnsiTheme="minorHAnsi"/>
          <w:kern w:val="2"/>
          <w:sz w:val="32"/>
          <w:szCs w:val="32"/>
          <w:highlight w:val="none"/>
          <w:lang w:val="en-US" w:eastAsia="zh-CN"/>
        </w:rPr>
        <w:t>继续开展十大类体育惠民</w:t>
      </w:r>
      <w:r>
        <w:rPr>
          <w:rFonts w:hint="eastAsia" w:ascii="仿宋_GB2312" w:eastAsia="仿宋_GB2312" w:hAnsiTheme="minorHAnsi"/>
          <w:kern w:val="2"/>
          <w:sz w:val="32"/>
          <w:szCs w:val="32"/>
          <w:highlight w:val="none"/>
          <w:lang w:val="en-US" w:eastAsia="zh-CN"/>
        </w:rPr>
        <w:t>健身</w:t>
      </w:r>
      <w:r>
        <w:rPr>
          <w:rFonts w:hint="default" w:ascii="仿宋_GB2312" w:eastAsia="仿宋_GB2312" w:hAnsiTheme="minorHAnsi"/>
          <w:kern w:val="2"/>
          <w:sz w:val="32"/>
          <w:szCs w:val="32"/>
          <w:highlight w:val="none"/>
          <w:lang w:val="en-US" w:eastAsia="zh-CN"/>
        </w:rPr>
        <w:t>项目，</w:t>
      </w:r>
      <w:r>
        <w:rPr>
          <w:rFonts w:hint="eastAsia" w:ascii="仿宋_GB2312" w:eastAsia="仿宋_GB2312" w:hAnsiTheme="minorHAnsi"/>
          <w:kern w:val="2"/>
          <w:sz w:val="32"/>
          <w:szCs w:val="32"/>
          <w:highlight w:val="none"/>
          <w:lang w:val="en-US" w:eastAsia="zh-CN"/>
        </w:rPr>
        <w:t>保留</w:t>
      </w:r>
      <w:r>
        <w:rPr>
          <w:rFonts w:hint="default" w:ascii="仿宋_GB2312" w:eastAsia="仿宋_GB2312" w:hAnsiTheme="minorHAnsi"/>
          <w:kern w:val="2"/>
          <w:sz w:val="32"/>
          <w:szCs w:val="32"/>
          <w:highlight w:val="none"/>
          <w:lang w:val="en-US" w:eastAsia="zh-CN"/>
        </w:rPr>
        <w:t>传统项目：篮球、网球、乒乓球、羽毛球、体育舞蹈、足球</w:t>
      </w:r>
      <w:r>
        <w:rPr>
          <w:rFonts w:hint="eastAsia" w:ascii="仿宋_GB2312" w:eastAsia="仿宋_GB2312" w:hAnsiTheme="minorHAnsi"/>
          <w:kern w:val="2"/>
          <w:sz w:val="32"/>
          <w:szCs w:val="32"/>
          <w:highlight w:val="none"/>
          <w:lang w:val="en-US" w:eastAsia="zh-CN"/>
        </w:rPr>
        <w:t>等</w:t>
      </w:r>
      <w:r>
        <w:rPr>
          <w:rFonts w:hint="default" w:ascii="仿宋_GB2312" w:eastAsia="仿宋_GB2312" w:hAnsiTheme="minorHAnsi"/>
          <w:kern w:val="2"/>
          <w:sz w:val="32"/>
          <w:szCs w:val="32"/>
          <w:highlight w:val="none"/>
          <w:lang w:val="en-US" w:eastAsia="zh-CN"/>
        </w:rPr>
        <w:t>，</w:t>
      </w:r>
      <w:r>
        <w:rPr>
          <w:rFonts w:hint="eastAsia" w:ascii="仿宋_GB2312" w:eastAsia="仿宋_GB2312" w:hAnsiTheme="minorHAnsi"/>
          <w:kern w:val="2"/>
          <w:sz w:val="32"/>
          <w:szCs w:val="32"/>
          <w:highlight w:val="none"/>
          <w:lang w:val="en-US" w:eastAsia="zh-CN"/>
        </w:rPr>
        <w:t>同时</w:t>
      </w:r>
      <w:r>
        <w:rPr>
          <w:rFonts w:hint="default" w:ascii="仿宋_GB2312" w:eastAsia="仿宋_GB2312" w:hAnsiTheme="minorHAnsi"/>
          <w:kern w:val="2"/>
          <w:sz w:val="32"/>
          <w:szCs w:val="32"/>
          <w:highlight w:val="none"/>
          <w:lang w:val="en-US" w:eastAsia="zh-CN"/>
        </w:rPr>
        <w:t>还</w:t>
      </w:r>
      <w:r>
        <w:rPr>
          <w:rFonts w:hint="eastAsia" w:ascii="仿宋_GB2312" w:eastAsia="仿宋_GB2312" w:hAnsiTheme="minorHAnsi"/>
          <w:kern w:val="2"/>
          <w:sz w:val="32"/>
          <w:szCs w:val="32"/>
          <w:highlight w:val="none"/>
          <w:lang w:val="en-US" w:eastAsia="zh-CN"/>
        </w:rPr>
        <w:t>结合时代发展，</w:t>
      </w:r>
      <w:r>
        <w:rPr>
          <w:rFonts w:hint="default" w:ascii="仿宋_GB2312" w:eastAsia="仿宋_GB2312" w:hAnsiTheme="minorHAnsi"/>
          <w:kern w:val="2"/>
          <w:sz w:val="32"/>
          <w:szCs w:val="32"/>
          <w:highlight w:val="none"/>
          <w:lang w:val="en-US" w:eastAsia="zh-CN"/>
        </w:rPr>
        <w:t>加入了特色项目：马术射艺、花样滑冰、风洞飞行、击剑</w:t>
      </w:r>
      <w:r>
        <w:rPr>
          <w:rFonts w:hint="eastAsia" w:ascii="仿宋_GB2312" w:eastAsia="仿宋_GB2312" w:hAnsiTheme="minorHAnsi"/>
          <w:kern w:val="2"/>
          <w:sz w:val="32"/>
          <w:szCs w:val="32"/>
          <w:highlight w:val="none"/>
          <w:lang w:val="en-US" w:eastAsia="zh-CN"/>
        </w:rPr>
        <w:t>等，龙华区文体局采取传统与特色相结合的方式，与时俱进，极大的丰富了项目类型，激发了群众参与的积极性，2020年度全民健身活动参与人数达3万余人，保证了全民健身活动开展的良好态势。</w:t>
      </w:r>
    </w:p>
    <w:p>
      <w:pPr>
        <w:keepNext w:val="0"/>
        <w:keepLines w:val="0"/>
        <w:pageBreakBefore w:val="0"/>
        <w:widowControl w:val="0"/>
        <w:numPr>
          <w:ilvl w:val="0"/>
          <w:numId w:val="0"/>
        </w:numPr>
        <w:tabs>
          <w:tab w:val="left" w:pos="1288"/>
        </w:tabs>
        <w:kinsoku/>
        <w:wordWrap/>
        <w:overflowPunct/>
        <w:topLinePunct w:val="0"/>
        <w:autoSpaceDE/>
        <w:autoSpaceDN/>
        <w:bidi w:val="0"/>
        <w:adjustRightInd w:val="0"/>
        <w:snapToGrid/>
        <w:spacing w:after="0" w:line="560" w:lineRule="exact"/>
        <w:ind w:left="0" w:leftChars="0" w:firstLine="640" w:firstLineChars="200"/>
        <w:jc w:val="left"/>
        <w:textAlignment w:val="auto"/>
        <w:rPr>
          <w:rFonts w:hint="default" w:ascii="仿宋_GB2312" w:eastAsia="仿宋_GB2312" w:hAnsiTheme="minorHAnsi"/>
          <w:kern w:val="2"/>
          <w:sz w:val="32"/>
          <w:szCs w:val="32"/>
          <w:highlight w:val="none"/>
          <w:lang w:val="en-US" w:eastAsia="zh-CN"/>
        </w:rPr>
      </w:pPr>
      <w:r>
        <w:rPr>
          <w:rFonts w:hint="eastAsia" w:ascii="仿宋_GB2312" w:eastAsia="仿宋_GB2312" w:hAnsiTheme="minorHAnsi"/>
          <w:kern w:val="2"/>
          <w:sz w:val="32"/>
          <w:szCs w:val="32"/>
          <w:highlight w:val="none"/>
          <w:lang w:val="en-US" w:eastAsia="zh-CN"/>
        </w:rPr>
        <w:t>另外，2020年度，龙华区文体局响应上级号召，</w:t>
      </w:r>
      <w:r>
        <w:rPr>
          <w:rFonts w:hint="default" w:ascii="仿宋_GB2312" w:eastAsia="仿宋_GB2312" w:hAnsiTheme="minorHAnsi"/>
          <w:kern w:val="2"/>
          <w:sz w:val="32"/>
          <w:szCs w:val="32"/>
          <w:highlight w:val="none"/>
          <w:lang w:val="en-US" w:eastAsia="zh-CN"/>
        </w:rPr>
        <w:t>按照市文体旅游局的要求，</w:t>
      </w:r>
      <w:r>
        <w:rPr>
          <w:rFonts w:hint="eastAsia" w:ascii="仿宋_GB2312" w:eastAsia="仿宋_GB2312" w:hAnsiTheme="minorHAnsi"/>
          <w:kern w:val="2"/>
          <w:sz w:val="32"/>
          <w:szCs w:val="32"/>
          <w:highlight w:val="none"/>
          <w:lang w:val="en-US" w:eastAsia="zh-CN"/>
        </w:rPr>
        <w:t>完成</w:t>
      </w:r>
      <w:r>
        <w:rPr>
          <w:rFonts w:hint="default" w:ascii="仿宋_GB2312" w:eastAsia="仿宋_GB2312" w:hAnsiTheme="minorHAnsi"/>
          <w:kern w:val="2"/>
          <w:sz w:val="32"/>
          <w:szCs w:val="32"/>
          <w:highlight w:val="none"/>
          <w:lang w:val="en-US" w:eastAsia="zh-CN"/>
        </w:rPr>
        <w:t>国民体质测定任务，实际完成测定人数为</w:t>
      </w:r>
      <w:r>
        <w:rPr>
          <w:rFonts w:hint="eastAsia" w:ascii="仿宋_GB2312" w:eastAsia="仿宋_GB2312" w:hAnsiTheme="minorHAnsi"/>
          <w:kern w:val="2"/>
          <w:sz w:val="32"/>
          <w:szCs w:val="32"/>
          <w:highlight w:val="none"/>
          <w:lang w:val="en-US" w:eastAsia="zh-CN"/>
        </w:rPr>
        <w:t>7</w:t>
      </w:r>
      <w:r>
        <w:rPr>
          <w:rFonts w:hint="default" w:ascii="仿宋_GB2312" w:eastAsia="仿宋_GB2312" w:hAnsiTheme="minorHAnsi"/>
          <w:kern w:val="2"/>
          <w:sz w:val="32"/>
          <w:szCs w:val="32"/>
          <w:highlight w:val="none"/>
          <w:lang w:val="en-US" w:eastAsia="zh-CN"/>
        </w:rPr>
        <w:t>000人</w:t>
      </w:r>
      <w:r>
        <w:rPr>
          <w:rFonts w:hint="eastAsia" w:ascii="仿宋_GB2312" w:eastAsia="仿宋_GB2312" w:hAnsiTheme="minorHAnsi"/>
          <w:kern w:val="2"/>
          <w:sz w:val="32"/>
          <w:szCs w:val="32"/>
          <w:highlight w:val="none"/>
          <w:lang w:val="en-US" w:eastAsia="zh-CN"/>
        </w:rPr>
        <w:t>；与此同时，龙华区文体局</w:t>
      </w:r>
      <w:r>
        <w:rPr>
          <w:rFonts w:hint="default" w:ascii="仿宋_GB2312" w:eastAsia="仿宋_GB2312" w:hAnsiTheme="minorHAnsi"/>
          <w:kern w:val="2"/>
          <w:sz w:val="32"/>
          <w:szCs w:val="32"/>
          <w:highlight w:val="none"/>
          <w:lang w:val="en-US" w:eastAsia="zh-CN"/>
        </w:rPr>
        <w:t>继续开展社会体育指导员站点建设工作，按照省、市要求开展了我区社会体育指导员站点评估工作，实现社会体育指导员站点6个街道56个社区全覆盖，并按要求发放站点补贴</w:t>
      </w:r>
      <w:r>
        <w:rPr>
          <w:rFonts w:hint="eastAsia" w:ascii="仿宋_GB2312" w:eastAsia="仿宋_GB2312" w:hAnsiTheme="minorHAnsi"/>
          <w:kern w:val="2"/>
          <w:sz w:val="32"/>
          <w:szCs w:val="32"/>
          <w:highlight w:val="none"/>
          <w:lang w:val="en-US" w:eastAsia="zh-CN"/>
        </w:rPr>
        <w:t>，积极构建全民健身服务指导网络。</w:t>
      </w:r>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left"/>
        <w:textAlignment w:val="auto"/>
        <w:outlineLvl w:val="1"/>
        <w:rPr>
          <w:rFonts w:hint="default" w:ascii="仿宋_GB2312" w:eastAsia="仿宋_GB2312" w:hAnsiTheme="minorHAnsi"/>
          <w:b/>
          <w:bCs/>
          <w:kern w:val="2"/>
          <w:sz w:val="32"/>
          <w:szCs w:val="32"/>
          <w:lang w:val="en-US" w:eastAsia="zh-CN"/>
        </w:rPr>
      </w:pPr>
      <w:bookmarkStart w:id="70" w:name="_Toc16547"/>
      <w:r>
        <w:rPr>
          <w:rFonts w:hint="eastAsia" w:ascii="仿宋_GB2312" w:eastAsia="仿宋_GB2312" w:hAnsiTheme="minorHAnsi"/>
          <w:b/>
          <w:bCs/>
          <w:kern w:val="2"/>
          <w:sz w:val="32"/>
          <w:szCs w:val="32"/>
          <w:lang w:val="en-US" w:eastAsia="zh-CN"/>
        </w:rPr>
        <w:t>3.</w:t>
      </w:r>
      <w:r>
        <w:rPr>
          <w:rFonts w:hint="default" w:ascii="仿宋_GB2312" w:eastAsia="仿宋_GB2312" w:hAnsiTheme="minorHAnsi"/>
          <w:b/>
          <w:bCs/>
          <w:kern w:val="2"/>
          <w:sz w:val="32"/>
          <w:szCs w:val="32"/>
          <w:lang w:val="en-US" w:eastAsia="zh-CN"/>
        </w:rPr>
        <w:t>群众性赛事活动取得</w:t>
      </w:r>
      <w:r>
        <w:rPr>
          <w:rFonts w:hint="eastAsia" w:ascii="仿宋_GB2312" w:eastAsia="仿宋_GB2312" w:hAnsiTheme="minorHAnsi"/>
          <w:b/>
          <w:bCs/>
          <w:kern w:val="2"/>
          <w:sz w:val="32"/>
          <w:szCs w:val="32"/>
          <w:lang w:val="en-US" w:eastAsia="zh-CN"/>
        </w:rPr>
        <w:t>优异成绩</w:t>
      </w:r>
      <w:bookmarkEnd w:id="70"/>
    </w:p>
    <w:p>
      <w:pPr>
        <w:keepNext w:val="0"/>
        <w:keepLines w:val="0"/>
        <w:pageBreakBefore w:val="0"/>
        <w:widowControl w:val="0"/>
        <w:numPr>
          <w:ilvl w:val="0"/>
          <w:numId w:val="0"/>
        </w:numPr>
        <w:tabs>
          <w:tab w:val="left" w:pos="1288"/>
        </w:tabs>
        <w:kinsoku/>
        <w:wordWrap/>
        <w:overflowPunct/>
        <w:topLinePunct w:val="0"/>
        <w:autoSpaceDE/>
        <w:autoSpaceDN/>
        <w:bidi w:val="0"/>
        <w:adjustRightInd w:val="0"/>
        <w:snapToGrid/>
        <w:spacing w:after="0" w:line="560" w:lineRule="exact"/>
        <w:ind w:left="0" w:leftChars="0" w:firstLine="640" w:firstLineChars="200"/>
        <w:jc w:val="left"/>
        <w:textAlignment w:val="auto"/>
        <w:rPr>
          <w:rFonts w:hint="default" w:ascii="仿宋_GB2312" w:eastAsia="仿宋_GB2312" w:hAnsiTheme="minorHAnsi"/>
          <w:kern w:val="2"/>
          <w:sz w:val="32"/>
          <w:szCs w:val="32"/>
          <w:highlight w:val="none"/>
          <w:lang w:val="en-US" w:eastAsia="zh-CN"/>
        </w:rPr>
      </w:pPr>
      <w:r>
        <w:rPr>
          <w:rFonts w:hint="default" w:ascii="仿宋_GB2312" w:eastAsia="仿宋_GB2312" w:hAnsiTheme="minorHAnsi"/>
          <w:kern w:val="2"/>
          <w:sz w:val="32"/>
          <w:szCs w:val="32"/>
          <w:highlight w:val="none"/>
          <w:lang w:val="en-US" w:eastAsia="zh-CN"/>
        </w:rPr>
        <w:t>2020年，</w:t>
      </w:r>
      <w:r>
        <w:rPr>
          <w:rFonts w:hint="eastAsia" w:ascii="仿宋_GB2312" w:eastAsia="仿宋_GB2312" w:hAnsiTheme="minorHAnsi"/>
          <w:kern w:val="2"/>
          <w:sz w:val="32"/>
          <w:szCs w:val="32"/>
          <w:highlight w:val="none"/>
          <w:lang w:val="en-US" w:eastAsia="zh-CN"/>
        </w:rPr>
        <w:t>龙华区文体局</w:t>
      </w:r>
      <w:r>
        <w:rPr>
          <w:rFonts w:hint="default" w:ascii="仿宋_GB2312" w:eastAsia="仿宋_GB2312" w:hAnsiTheme="minorHAnsi"/>
          <w:kern w:val="2"/>
          <w:sz w:val="32"/>
          <w:szCs w:val="32"/>
          <w:highlight w:val="none"/>
          <w:lang w:val="en-US" w:eastAsia="zh-CN"/>
        </w:rPr>
        <w:t>组织</w:t>
      </w:r>
      <w:r>
        <w:rPr>
          <w:rFonts w:hint="eastAsia" w:ascii="仿宋_GB2312" w:eastAsia="仿宋_GB2312" w:hAnsiTheme="minorHAnsi"/>
          <w:kern w:val="2"/>
          <w:sz w:val="32"/>
          <w:szCs w:val="32"/>
          <w:highlight w:val="none"/>
          <w:lang w:val="en-US" w:eastAsia="zh-CN"/>
        </w:rPr>
        <w:t>辖</w:t>
      </w:r>
      <w:r>
        <w:rPr>
          <w:rFonts w:hint="default" w:ascii="仿宋_GB2312" w:eastAsia="仿宋_GB2312" w:hAnsiTheme="minorHAnsi"/>
          <w:kern w:val="2"/>
          <w:sz w:val="32"/>
          <w:szCs w:val="32"/>
          <w:highlight w:val="none"/>
          <w:lang w:val="en-US" w:eastAsia="zh-CN"/>
        </w:rPr>
        <w:t>区全民健身队伍参加系列比赛，以赛促练，提升全区群众性赛事成绩和全民健身水平。一是成功举办龙华区第二届社会体育指导员技能交流展示大赛，进一步树立我区社会体育指导员良好形象，提高社会体育指导员服务质量和水平。二是积极选派群众队伍赴外参加省级、国家级比赛并取得优异成绩。组织选派龙华区广场舞协会率队分别赴贵州和佛山参加首届全国广场舞联赛总决赛、广东省健身广场舞网络联赛总决赛及广东省排舞锦标赛</w:t>
      </w:r>
      <w:r>
        <w:rPr>
          <w:rFonts w:hint="eastAsia" w:ascii="仿宋_GB2312" w:eastAsia="仿宋_GB2312" w:hAnsiTheme="minorHAnsi"/>
          <w:kern w:val="2"/>
          <w:sz w:val="32"/>
          <w:szCs w:val="32"/>
          <w:highlight w:val="none"/>
          <w:lang w:val="en-US" w:eastAsia="zh-CN"/>
        </w:rPr>
        <w:t>，</w:t>
      </w:r>
      <w:r>
        <w:rPr>
          <w:rFonts w:hint="default" w:ascii="仿宋_GB2312" w:eastAsia="仿宋_GB2312" w:hAnsiTheme="minorHAnsi"/>
          <w:kern w:val="2"/>
          <w:sz w:val="32"/>
          <w:szCs w:val="32"/>
          <w:highlight w:val="none"/>
          <w:lang w:val="en-US" w:eastAsia="zh-CN"/>
        </w:rPr>
        <w:t>荣获首届全国广场舞联赛总决赛全国一等奖、广东省健身广场舞网络联赛总决赛中年组特等奖、常青组一等奖、广东省排舞锦标赛中年组特等奖、常青组特等奖。群众性体育赛事成绩取得</w:t>
      </w:r>
      <w:r>
        <w:rPr>
          <w:rFonts w:hint="eastAsia" w:ascii="仿宋_GB2312" w:eastAsia="仿宋_GB2312" w:hAnsiTheme="minorHAnsi"/>
          <w:kern w:val="2"/>
          <w:sz w:val="32"/>
          <w:szCs w:val="32"/>
          <w:highlight w:val="none"/>
          <w:lang w:val="en-US" w:eastAsia="zh-CN"/>
        </w:rPr>
        <w:t>优异成绩</w:t>
      </w:r>
      <w:r>
        <w:rPr>
          <w:rFonts w:hint="default" w:ascii="仿宋_GB2312" w:eastAsia="仿宋_GB2312" w:hAnsiTheme="minorHAnsi"/>
          <w:kern w:val="2"/>
          <w:sz w:val="32"/>
          <w:szCs w:val="32"/>
          <w:highlight w:val="none"/>
          <w:lang w:val="en-US" w:eastAsia="zh-CN"/>
        </w:rPr>
        <w:t>，提升了龙华</w:t>
      </w:r>
      <w:r>
        <w:rPr>
          <w:rFonts w:hint="eastAsia" w:ascii="仿宋_GB2312" w:eastAsia="仿宋_GB2312" w:hAnsiTheme="minorHAnsi"/>
          <w:kern w:val="2"/>
          <w:sz w:val="32"/>
          <w:szCs w:val="32"/>
          <w:highlight w:val="none"/>
          <w:lang w:val="en-US" w:eastAsia="zh-CN"/>
        </w:rPr>
        <w:t>区</w:t>
      </w:r>
      <w:r>
        <w:rPr>
          <w:rFonts w:hint="default" w:ascii="仿宋_GB2312" w:eastAsia="仿宋_GB2312" w:hAnsiTheme="minorHAnsi"/>
          <w:kern w:val="2"/>
          <w:sz w:val="32"/>
          <w:szCs w:val="32"/>
          <w:highlight w:val="none"/>
          <w:lang w:val="en-US" w:eastAsia="zh-CN"/>
        </w:rPr>
        <w:t>全民健身</w:t>
      </w:r>
      <w:r>
        <w:rPr>
          <w:rFonts w:hint="eastAsia" w:ascii="仿宋_GB2312" w:eastAsia="仿宋_GB2312" w:hAnsiTheme="minorHAnsi"/>
          <w:kern w:val="2"/>
          <w:sz w:val="32"/>
          <w:szCs w:val="32"/>
          <w:highlight w:val="none"/>
          <w:lang w:val="en-US" w:eastAsia="zh-CN"/>
        </w:rPr>
        <w:t>活</w:t>
      </w:r>
      <w:r>
        <w:rPr>
          <w:rFonts w:hint="default" w:ascii="仿宋_GB2312" w:eastAsia="仿宋_GB2312" w:hAnsiTheme="minorHAnsi"/>
          <w:kern w:val="2"/>
          <w:sz w:val="32"/>
          <w:szCs w:val="32"/>
          <w:highlight w:val="none"/>
          <w:lang w:val="en-US" w:eastAsia="zh-CN"/>
        </w:rPr>
        <w:t>动影响力。</w:t>
      </w:r>
      <w:r>
        <w:rPr>
          <w:rFonts w:hint="eastAsia" w:ascii="仿宋_GB2312" w:eastAsia="仿宋_GB2312" w:hAnsiTheme="minorHAnsi"/>
          <w:b/>
          <w:bCs/>
          <w:kern w:val="2"/>
          <w:sz w:val="32"/>
          <w:szCs w:val="32"/>
          <w:lang w:val="en-US" w:eastAsia="zh-CN"/>
        </w:rPr>
        <w:t xml:space="preserve"> </w:t>
      </w:r>
    </w:p>
    <w:p>
      <w:pPr>
        <w:keepNext w:val="0"/>
        <w:keepLines w:val="0"/>
        <w:pageBreakBefore w:val="0"/>
        <w:widowControl w:val="0"/>
        <w:numPr>
          <w:ilvl w:val="0"/>
          <w:numId w:val="3"/>
        </w:numPr>
        <w:kinsoku/>
        <w:wordWrap/>
        <w:overflowPunct/>
        <w:topLinePunct w:val="0"/>
        <w:autoSpaceDE/>
        <w:autoSpaceDN/>
        <w:bidi w:val="0"/>
        <w:adjustRightInd w:val="0"/>
        <w:snapToGrid/>
        <w:spacing w:after="0" w:line="560" w:lineRule="exact"/>
        <w:ind w:left="640" w:leftChars="0" w:firstLine="0" w:firstLineChars="0"/>
        <w:jc w:val="left"/>
        <w:textAlignment w:val="auto"/>
        <w:outlineLvl w:val="1"/>
        <w:rPr>
          <w:rFonts w:hint="eastAsia" w:ascii="楷体" w:hAnsi="楷体" w:eastAsia="楷体" w:cs="楷体"/>
          <w:b/>
          <w:bCs/>
          <w:kern w:val="2"/>
          <w:sz w:val="32"/>
          <w:szCs w:val="32"/>
          <w:lang w:val="en-US" w:eastAsia="zh-CN"/>
        </w:rPr>
      </w:pPr>
      <w:bookmarkStart w:id="71" w:name="_Toc17006"/>
      <w:r>
        <w:rPr>
          <w:rFonts w:hint="eastAsia" w:ascii="楷体" w:hAnsi="楷体" w:eastAsia="楷体" w:cs="楷体"/>
          <w:b/>
          <w:bCs/>
          <w:kern w:val="2"/>
          <w:sz w:val="32"/>
          <w:szCs w:val="32"/>
          <w:lang w:val="en-US" w:eastAsia="zh-CN"/>
        </w:rPr>
        <w:t>竞技体育发展工作积极开展，并取得优异成绩</w:t>
      </w:r>
      <w:bookmarkEnd w:id="71"/>
    </w:p>
    <w:p>
      <w:pPr>
        <w:keepNext w:val="0"/>
        <w:keepLines w:val="0"/>
        <w:pageBreakBefore w:val="0"/>
        <w:widowControl w:val="0"/>
        <w:numPr>
          <w:ilvl w:val="0"/>
          <w:numId w:val="0"/>
        </w:numPr>
        <w:tabs>
          <w:tab w:val="left" w:pos="1288"/>
        </w:tabs>
        <w:kinsoku/>
        <w:wordWrap/>
        <w:overflowPunct/>
        <w:topLinePunct w:val="0"/>
        <w:autoSpaceDE/>
        <w:autoSpaceDN/>
        <w:bidi w:val="0"/>
        <w:adjustRightInd w:val="0"/>
        <w:snapToGrid/>
        <w:spacing w:after="0" w:line="560" w:lineRule="exact"/>
        <w:ind w:left="0" w:leftChars="0" w:firstLine="640" w:firstLineChars="200"/>
        <w:jc w:val="left"/>
        <w:textAlignment w:val="auto"/>
        <w:rPr>
          <w:rFonts w:hint="default" w:ascii="仿宋_GB2312" w:eastAsia="仿宋_GB2312" w:hAnsiTheme="minorHAnsi"/>
          <w:kern w:val="2"/>
          <w:sz w:val="32"/>
          <w:szCs w:val="32"/>
          <w:highlight w:val="none"/>
          <w:lang w:val="en-US" w:eastAsia="zh-CN"/>
        </w:rPr>
      </w:pPr>
      <w:r>
        <w:rPr>
          <w:rFonts w:hint="eastAsia" w:ascii="仿宋_GB2312" w:eastAsia="仿宋_GB2312" w:hAnsiTheme="minorHAnsi"/>
          <w:kern w:val="2"/>
          <w:sz w:val="32"/>
          <w:szCs w:val="32"/>
          <w:highlight w:val="none"/>
          <w:lang w:val="en-US" w:eastAsia="zh-CN"/>
        </w:rPr>
        <w:t>2020年度，龙华区文体局</w:t>
      </w:r>
      <w:r>
        <w:rPr>
          <w:rFonts w:hint="default" w:ascii="仿宋_GB2312" w:eastAsia="仿宋_GB2312" w:hAnsiTheme="minorHAnsi"/>
          <w:kern w:val="2"/>
          <w:sz w:val="32"/>
          <w:szCs w:val="32"/>
          <w:highlight w:val="none"/>
          <w:lang w:val="en-US" w:eastAsia="zh-CN"/>
        </w:rPr>
        <w:t>组织</w:t>
      </w:r>
      <w:r>
        <w:rPr>
          <w:rFonts w:hint="eastAsia" w:ascii="仿宋_GB2312" w:eastAsia="仿宋_GB2312" w:hAnsiTheme="minorHAnsi"/>
          <w:kern w:val="2"/>
          <w:sz w:val="32"/>
          <w:szCs w:val="32"/>
          <w:highlight w:val="none"/>
          <w:lang w:val="en-US" w:eastAsia="zh-CN"/>
        </w:rPr>
        <w:t>辖</w:t>
      </w:r>
      <w:r>
        <w:rPr>
          <w:rFonts w:hint="default" w:ascii="仿宋_GB2312" w:eastAsia="仿宋_GB2312" w:hAnsiTheme="minorHAnsi"/>
          <w:kern w:val="2"/>
          <w:sz w:val="32"/>
          <w:szCs w:val="32"/>
          <w:highlight w:val="none"/>
          <w:lang w:val="en-US" w:eastAsia="zh-CN"/>
        </w:rPr>
        <w:t>区</w:t>
      </w:r>
      <w:r>
        <w:rPr>
          <w:rFonts w:hint="eastAsia" w:ascii="仿宋_GB2312" w:eastAsia="仿宋_GB2312" w:hAnsiTheme="minorHAnsi"/>
          <w:kern w:val="2"/>
          <w:sz w:val="32"/>
          <w:szCs w:val="32"/>
          <w:highlight w:val="none"/>
          <w:lang w:val="en-US" w:eastAsia="zh-CN"/>
        </w:rPr>
        <w:t>运动队</w:t>
      </w:r>
      <w:r>
        <w:rPr>
          <w:rFonts w:hint="default" w:ascii="仿宋_GB2312" w:eastAsia="仿宋_GB2312" w:hAnsiTheme="minorHAnsi"/>
          <w:kern w:val="2"/>
          <w:sz w:val="32"/>
          <w:szCs w:val="32"/>
          <w:highlight w:val="none"/>
          <w:lang w:val="en-US" w:eastAsia="zh-CN"/>
        </w:rPr>
        <w:t>参加</w:t>
      </w:r>
      <w:r>
        <w:rPr>
          <w:rFonts w:hint="eastAsia" w:ascii="仿宋_GB2312" w:eastAsia="仿宋_GB2312" w:hAnsiTheme="minorHAnsi"/>
          <w:kern w:val="2"/>
          <w:sz w:val="32"/>
          <w:szCs w:val="32"/>
          <w:highlight w:val="none"/>
          <w:lang w:val="en-US" w:eastAsia="zh-CN"/>
        </w:rPr>
        <w:t>各项</w:t>
      </w:r>
      <w:r>
        <w:rPr>
          <w:rFonts w:hint="default" w:ascii="仿宋_GB2312" w:eastAsia="仿宋_GB2312" w:hAnsiTheme="minorHAnsi"/>
          <w:kern w:val="2"/>
          <w:sz w:val="32"/>
          <w:szCs w:val="32"/>
          <w:highlight w:val="none"/>
          <w:lang w:val="en-US" w:eastAsia="zh-CN"/>
        </w:rPr>
        <w:t>比赛，以赛促练，提升</w:t>
      </w:r>
      <w:r>
        <w:rPr>
          <w:rFonts w:hint="eastAsia" w:ascii="仿宋_GB2312" w:eastAsia="仿宋_GB2312" w:hAnsiTheme="minorHAnsi"/>
          <w:kern w:val="2"/>
          <w:sz w:val="32"/>
          <w:szCs w:val="32"/>
          <w:highlight w:val="none"/>
          <w:lang w:val="en-US" w:eastAsia="zh-CN"/>
        </w:rPr>
        <w:t>辖区运动队</w:t>
      </w:r>
      <w:r>
        <w:rPr>
          <w:rFonts w:hint="default" w:ascii="仿宋_GB2312" w:eastAsia="仿宋_GB2312" w:hAnsiTheme="minorHAnsi"/>
          <w:kern w:val="2"/>
          <w:sz w:val="32"/>
          <w:szCs w:val="32"/>
          <w:highlight w:val="none"/>
          <w:lang w:val="en-US" w:eastAsia="zh-CN"/>
        </w:rPr>
        <w:t>赛事成绩和</w:t>
      </w:r>
      <w:r>
        <w:rPr>
          <w:rFonts w:hint="eastAsia" w:ascii="仿宋_GB2312" w:eastAsia="仿宋_GB2312" w:hAnsiTheme="minorHAnsi"/>
          <w:kern w:val="2"/>
          <w:sz w:val="32"/>
          <w:szCs w:val="32"/>
          <w:highlight w:val="none"/>
          <w:lang w:val="en-US" w:eastAsia="zh-CN"/>
        </w:rPr>
        <w:t>专业</w:t>
      </w:r>
      <w:r>
        <w:rPr>
          <w:rFonts w:hint="default" w:ascii="仿宋_GB2312" w:eastAsia="仿宋_GB2312" w:hAnsiTheme="minorHAnsi"/>
          <w:kern w:val="2"/>
          <w:sz w:val="32"/>
          <w:szCs w:val="32"/>
          <w:highlight w:val="none"/>
          <w:lang w:val="en-US" w:eastAsia="zh-CN"/>
        </w:rPr>
        <w:t>水平。一是</w:t>
      </w:r>
      <w:r>
        <w:rPr>
          <w:rFonts w:hint="eastAsia" w:ascii="仿宋_GB2312" w:eastAsia="仿宋_GB2312" w:hAnsiTheme="minorHAnsi"/>
          <w:kern w:val="2"/>
          <w:sz w:val="32"/>
          <w:szCs w:val="32"/>
          <w:highlight w:val="none"/>
          <w:lang w:val="en-US" w:eastAsia="zh-CN"/>
        </w:rPr>
        <w:t>关注运动队员的训练条件，及时为运动队员购置训练器械、比赛装备等各项物资</w:t>
      </w:r>
      <w:r>
        <w:rPr>
          <w:rFonts w:hint="default" w:ascii="仿宋_GB2312" w:eastAsia="仿宋_GB2312" w:hAnsiTheme="minorHAnsi"/>
          <w:kern w:val="2"/>
          <w:sz w:val="32"/>
          <w:szCs w:val="32"/>
          <w:highlight w:val="none"/>
          <w:lang w:val="en-US" w:eastAsia="zh-CN"/>
        </w:rPr>
        <w:t>，进一步</w:t>
      </w:r>
      <w:r>
        <w:rPr>
          <w:rFonts w:hint="eastAsia" w:ascii="仿宋_GB2312" w:eastAsia="仿宋_GB2312" w:hAnsiTheme="minorHAnsi"/>
          <w:kern w:val="2"/>
          <w:sz w:val="32"/>
          <w:szCs w:val="32"/>
          <w:highlight w:val="none"/>
          <w:lang w:val="en-US" w:eastAsia="zh-CN"/>
        </w:rPr>
        <w:t>提升辖区运动队员的训练环境</w:t>
      </w:r>
      <w:r>
        <w:rPr>
          <w:rFonts w:hint="default" w:ascii="仿宋_GB2312" w:eastAsia="仿宋_GB2312" w:hAnsiTheme="minorHAnsi"/>
          <w:kern w:val="2"/>
          <w:sz w:val="32"/>
          <w:szCs w:val="32"/>
          <w:highlight w:val="none"/>
          <w:lang w:val="en-US" w:eastAsia="zh-CN"/>
        </w:rPr>
        <w:t>，提高</w:t>
      </w:r>
      <w:r>
        <w:rPr>
          <w:rFonts w:hint="eastAsia" w:ascii="仿宋_GB2312" w:eastAsia="仿宋_GB2312" w:hAnsiTheme="minorHAnsi"/>
          <w:kern w:val="2"/>
          <w:sz w:val="32"/>
          <w:szCs w:val="32"/>
          <w:highlight w:val="none"/>
          <w:lang w:val="en-US" w:eastAsia="zh-CN"/>
        </w:rPr>
        <w:t>教练员与运动队员专业</w:t>
      </w:r>
      <w:r>
        <w:rPr>
          <w:rFonts w:hint="default" w:ascii="仿宋_GB2312" w:eastAsia="仿宋_GB2312" w:hAnsiTheme="minorHAnsi"/>
          <w:kern w:val="2"/>
          <w:sz w:val="32"/>
          <w:szCs w:val="32"/>
          <w:highlight w:val="none"/>
          <w:lang w:val="en-US" w:eastAsia="zh-CN"/>
        </w:rPr>
        <w:t>水平。二是积极</w:t>
      </w:r>
      <w:r>
        <w:rPr>
          <w:rFonts w:hint="eastAsia" w:ascii="仿宋_GB2312" w:eastAsia="仿宋_GB2312" w:hAnsiTheme="minorHAnsi"/>
          <w:kern w:val="2"/>
          <w:sz w:val="32"/>
          <w:szCs w:val="32"/>
          <w:highlight w:val="none"/>
          <w:lang w:val="en-US" w:eastAsia="zh-CN"/>
        </w:rPr>
        <w:t>鼓励运动队员</w:t>
      </w:r>
      <w:r>
        <w:rPr>
          <w:rFonts w:hint="default" w:ascii="仿宋_GB2312" w:eastAsia="仿宋_GB2312" w:hAnsiTheme="minorHAnsi"/>
          <w:kern w:val="2"/>
          <w:sz w:val="32"/>
          <w:szCs w:val="32"/>
          <w:highlight w:val="none"/>
          <w:lang w:val="en-US" w:eastAsia="zh-CN"/>
        </w:rPr>
        <w:t>赴外参加</w:t>
      </w:r>
      <w:r>
        <w:rPr>
          <w:rFonts w:hint="eastAsia" w:ascii="仿宋_GB2312" w:eastAsia="仿宋_GB2312" w:hAnsiTheme="minorHAnsi"/>
          <w:kern w:val="2"/>
          <w:sz w:val="32"/>
          <w:szCs w:val="32"/>
          <w:highlight w:val="none"/>
          <w:lang w:val="en-US" w:eastAsia="zh-CN"/>
        </w:rPr>
        <w:t>全市、全省</w:t>
      </w:r>
      <w:r>
        <w:rPr>
          <w:rFonts w:hint="default" w:ascii="仿宋_GB2312" w:eastAsia="仿宋_GB2312" w:hAnsiTheme="minorHAnsi"/>
          <w:kern w:val="2"/>
          <w:sz w:val="32"/>
          <w:szCs w:val="32"/>
          <w:highlight w:val="none"/>
          <w:lang w:val="en-US" w:eastAsia="zh-CN"/>
        </w:rPr>
        <w:t>比赛并取得优异成绩。组织</w:t>
      </w:r>
      <w:r>
        <w:rPr>
          <w:rFonts w:hint="eastAsia" w:ascii="仿宋_GB2312" w:eastAsia="仿宋_GB2312" w:hAnsiTheme="minorHAnsi"/>
          <w:kern w:val="2"/>
          <w:sz w:val="32"/>
          <w:szCs w:val="32"/>
          <w:highlight w:val="none"/>
          <w:lang w:val="en-US" w:eastAsia="zh-CN"/>
        </w:rPr>
        <w:t>运动队员</w:t>
      </w:r>
      <w:r>
        <w:rPr>
          <w:rFonts w:hint="default" w:ascii="仿宋_GB2312" w:eastAsia="仿宋_GB2312" w:hAnsiTheme="minorHAnsi"/>
          <w:kern w:val="2"/>
          <w:sz w:val="32"/>
          <w:szCs w:val="32"/>
          <w:highlight w:val="none"/>
          <w:lang w:val="en-US" w:eastAsia="zh-CN"/>
        </w:rPr>
        <w:t>参加深圳市青少年足球锦标赛</w:t>
      </w:r>
      <w:r>
        <w:rPr>
          <w:rFonts w:hint="eastAsia" w:ascii="仿宋_GB2312" w:eastAsia="仿宋_GB2312" w:hAnsiTheme="minorHAnsi"/>
          <w:kern w:val="2"/>
          <w:sz w:val="32"/>
          <w:szCs w:val="32"/>
          <w:highlight w:val="none"/>
          <w:lang w:val="en-US" w:eastAsia="zh-CN"/>
        </w:rPr>
        <w:t>、深圳市青少年精英足球联赛等赛事，其中龙华区民治小学运动队夺得</w:t>
      </w:r>
      <w:r>
        <w:rPr>
          <w:rFonts w:hint="default" w:ascii="仿宋_GB2312" w:eastAsia="仿宋_GB2312" w:hAnsiTheme="minorHAnsi"/>
          <w:kern w:val="2"/>
          <w:sz w:val="32"/>
          <w:szCs w:val="32"/>
          <w:highlight w:val="none"/>
          <w:lang w:val="en-US" w:eastAsia="zh-CN"/>
        </w:rPr>
        <w:t>男子U8组的第三名</w:t>
      </w:r>
      <w:r>
        <w:rPr>
          <w:rFonts w:hint="eastAsia" w:ascii="仿宋_GB2312" w:eastAsia="仿宋_GB2312" w:hAnsiTheme="minorHAnsi"/>
          <w:kern w:val="2"/>
          <w:sz w:val="32"/>
          <w:szCs w:val="32"/>
          <w:highlight w:val="none"/>
          <w:lang w:val="en-US" w:eastAsia="zh-CN"/>
        </w:rPr>
        <w:t>和U10组第二名、体育发展中心运动队夺得男子U11组的第三名、体育发展中心运动队员黄锦山和教练员李昕分别夺得男子U11组“优秀球员”奖项和“优秀教练员”奖项、民治小学运动队员李政寰和教练员李敬分别夺得男子男子U10组的“优秀球员”奖项和“优秀教练员”奖项、民治小学运动队员刘俊熙夺得男子U8组“最佳射手”奖项等</w:t>
      </w:r>
      <w:r>
        <w:rPr>
          <w:rFonts w:hint="default" w:ascii="仿宋_GB2312" w:eastAsia="仿宋_GB2312" w:hAnsiTheme="minorHAnsi"/>
          <w:kern w:val="2"/>
          <w:sz w:val="32"/>
          <w:szCs w:val="32"/>
          <w:highlight w:val="none"/>
          <w:lang w:val="en-US" w:eastAsia="zh-CN"/>
        </w:rPr>
        <w:t>。竞技体育赛事取得</w:t>
      </w:r>
      <w:r>
        <w:rPr>
          <w:rFonts w:hint="eastAsia" w:ascii="仿宋_GB2312" w:eastAsia="仿宋_GB2312" w:hAnsiTheme="minorHAnsi"/>
          <w:kern w:val="2"/>
          <w:sz w:val="32"/>
          <w:szCs w:val="32"/>
          <w:highlight w:val="none"/>
          <w:lang w:val="en-US" w:eastAsia="zh-CN"/>
        </w:rPr>
        <w:t>优异成绩</w:t>
      </w:r>
      <w:r>
        <w:rPr>
          <w:rFonts w:hint="default" w:ascii="仿宋_GB2312" w:eastAsia="仿宋_GB2312" w:hAnsiTheme="minorHAnsi"/>
          <w:kern w:val="2"/>
          <w:sz w:val="32"/>
          <w:szCs w:val="32"/>
          <w:highlight w:val="none"/>
          <w:lang w:val="en-US" w:eastAsia="zh-CN"/>
        </w:rPr>
        <w:t>，提升了龙华</w:t>
      </w:r>
      <w:r>
        <w:rPr>
          <w:rFonts w:hint="eastAsia" w:ascii="仿宋_GB2312" w:eastAsia="仿宋_GB2312" w:hAnsiTheme="minorHAnsi"/>
          <w:kern w:val="2"/>
          <w:sz w:val="32"/>
          <w:szCs w:val="32"/>
          <w:highlight w:val="none"/>
          <w:lang w:val="en-US" w:eastAsia="zh-CN"/>
        </w:rPr>
        <w:t>区竞技体育发展</w:t>
      </w:r>
      <w:r>
        <w:rPr>
          <w:rFonts w:hint="default" w:ascii="仿宋_GB2312" w:eastAsia="仿宋_GB2312" w:hAnsiTheme="minorHAnsi"/>
          <w:kern w:val="2"/>
          <w:sz w:val="32"/>
          <w:szCs w:val="32"/>
          <w:highlight w:val="none"/>
          <w:lang w:val="en-US" w:eastAsia="zh-CN"/>
        </w:rPr>
        <w:t>影响力。</w:t>
      </w:r>
    </w:p>
    <w:p>
      <w:pPr>
        <w:keepNext w:val="0"/>
        <w:keepLines w:val="0"/>
        <w:pageBreakBefore w:val="0"/>
        <w:widowControl w:val="0"/>
        <w:numPr>
          <w:ilvl w:val="0"/>
          <w:numId w:val="0"/>
        </w:numPr>
        <w:tabs>
          <w:tab w:val="left" w:pos="1288"/>
        </w:tabs>
        <w:kinsoku/>
        <w:wordWrap/>
        <w:overflowPunct/>
        <w:topLinePunct w:val="0"/>
        <w:autoSpaceDE/>
        <w:autoSpaceDN/>
        <w:bidi w:val="0"/>
        <w:adjustRightInd w:val="0"/>
        <w:snapToGrid/>
        <w:spacing w:after="0" w:line="560" w:lineRule="exact"/>
        <w:ind w:left="0" w:leftChars="0" w:firstLine="640" w:firstLineChars="200"/>
        <w:jc w:val="both"/>
        <w:textAlignment w:val="auto"/>
        <w:rPr>
          <w:rFonts w:hint="default" w:ascii="仿宋_GB2312" w:eastAsia="仿宋_GB2312" w:hAnsiTheme="minorHAnsi"/>
          <w:kern w:val="2"/>
          <w:sz w:val="32"/>
          <w:szCs w:val="32"/>
          <w:highlight w:val="none"/>
          <w:lang w:val="en-US" w:eastAsia="zh-CN"/>
        </w:rPr>
      </w:pPr>
      <w:r>
        <w:rPr>
          <w:rFonts w:hint="eastAsia" w:ascii="仿宋_GB2312" w:eastAsia="仿宋_GB2312" w:hAnsiTheme="minorHAnsi"/>
          <w:kern w:val="2"/>
          <w:sz w:val="32"/>
          <w:szCs w:val="32"/>
          <w:highlight w:val="none"/>
          <w:lang w:val="en-US" w:eastAsia="zh-CN"/>
        </w:rPr>
        <w:t>与此同时，评价小组对受益群体进行满意度问卷调查得知，2020年度，受益群众对竞技体育发展工作的满意度为100.00%</w:t>
      </w:r>
      <w:bookmarkStart w:id="98" w:name="_GoBack"/>
      <w:bookmarkEnd w:id="98"/>
      <w:r>
        <w:rPr>
          <w:rFonts w:hint="eastAsia" w:ascii="仿宋_GB2312" w:eastAsia="仿宋_GB2312" w:hAnsiTheme="minorHAnsi"/>
          <w:kern w:val="2"/>
          <w:sz w:val="32"/>
          <w:szCs w:val="32"/>
          <w:highlight w:val="none"/>
          <w:lang w:val="en-US" w:eastAsia="zh-CN"/>
        </w:rPr>
        <w:t>，整体满意度高，极大的发挥了体彩公益金对于竞技体育发展的作用，推动了龙华区竞技体育的迅速发展。</w:t>
      </w:r>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640" w:leftChars="0"/>
        <w:jc w:val="left"/>
        <w:textAlignment w:val="auto"/>
        <w:outlineLvl w:val="0"/>
        <w:rPr>
          <w:rFonts w:hint="eastAsia" w:ascii="黑体" w:hAnsi="黑体" w:eastAsia="黑体" w:cs="黑体"/>
          <w:kern w:val="2"/>
          <w:sz w:val="32"/>
          <w:szCs w:val="32"/>
          <w:lang w:val="en-US" w:eastAsia="zh-CN"/>
        </w:rPr>
      </w:pPr>
      <w:bookmarkStart w:id="72" w:name="_Toc12154"/>
      <w:r>
        <w:rPr>
          <w:rFonts w:hint="eastAsia" w:ascii="黑体" w:hAnsi="黑体" w:eastAsia="黑体" w:cs="黑体"/>
          <w:kern w:val="2"/>
          <w:sz w:val="32"/>
          <w:szCs w:val="32"/>
          <w:lang w:val="en-US" w:eastAsia="zh-CN"/>
        </w:rPr>
        <w:t>五、绩效评价发现的主要问题</w:t>
      </w:r>
      <w:bookmarkEnd w:id="72"/>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left"/>
        <w:textAlignment w:val="auto"/>
        <w:outlineLvl w:val="1"/>
        <w:rPr>
          <w:rFonts w:hint="eastAsia" w:ascii="楷体" w:hAnsi="楷体" w:eastAsia="楷体" w:cs="楷体"/>
          <w:b/>
          <w:bCs/>
          <w:kern w:val="2"/>
          <w:sz w:val="32"/>
          <w:szCs w:val="32"/>
          <w:lang w:val="en-US" w:eastAsia="zh-CN"/>
        </w:rPr>
      </w:pPr>
      <w:bookmarkStart w:id="73" w:name="_Toc26690"/>
      <w:r>
        <w:rPr>
          <w:rFonts w:hint="eastAsia" w:ascii="楷体" w:hAnsi="楷体" w:eastAsia="楷体" w:cs="楷体"/>
          <w:b/>
          <w:bCs/>
          <w:kern w:val="2"/>
          <w:sz w:val="32"/>
          <w:szCs w:val="32"/>
          <w:lang w:val="en-US" w:eastAsia="zh-CN"/>
        </w:rPr>
        <w:t>(一) 政策制度有待完善</w:t>
      </w:r>
      <w:bookmarkEnd w:id="73"/>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640" w:leftChars="0"/>
        <w:jc w:val="left"/>
        <w:textAlignment w:val="auto"/>
        <w:outlineLvl w:val="2"/>
        <w:rPr>
          <w:rFonts w:hint="eastAsia" w:ascii="楷体" w:hAnsi="楷体" w:eastAsia="楷体" w:cs="楷体"/>
          <w:b/>
          <w:bCs/>
          <w:kern w:val="2"/>
          <w:sz w:val="32"/>
          <w:szCs w:val="32"/>
          <w:lang w:val="en-US" w:eastAsia="zh-CN"/>
        </w:rPr>
      </w:pPr>
      <w:bookmarkStart w:id="74" w:name="_Toc30870"/>
      <w:r>
        <w:rPr>
          <w:rFonts w:hint="eastAsia" w:ascii="仿宋_GB2312" w:eastAsia="仿宋_GB2312" w:cs="宋体" w:hAnsiTheme="minorHAnsi"/>
          <w:b/>
          <w:bCs/>
          <w:kern w:val="2"/>
          <w:sz w:val="32"/>
          <w:szCs w:val="32"/>
          <w:lang w:val="en-US" w:eastAsia="zh-CN" w:bidi="ar-SA"/>
        </w:rPr>
        <w:t>1.未建立健全体彩金管理制度</w:t>
      </w:r>
      <w:bookmarkEnd w:id="74"/>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firstLine="642"/>
        <w:jc w:val="both"/>
        <w:textAlignment w:val="auto"/>
        <w:rPr>
          <w:rFonts w:hint="eastAsia" w:ascii="仿宋_GB2312" w:eastAsia="仿宋_GB2312" w:cs="宋体" w:hAnsiTheme="minorHAnsi"/>
          <w:kern w:val="2"/>
          <w:sz w:val="32"/>
          <w:szCs w:val="32"/>
          <w:lang w:val="en-US" w:eastAsia="zh-CN" w:bidi="ar-SA"/>
        </w:rPr>
      </w:pPr>
      <w:r>
        <w:rPr>
          <w:rFonts w:hint="eastAsia" w:ascii="仿宋_GB2312" w:eastAsia="仿宋_GB2312" w:cs="宋体" w:hAnsiTheme="minorHAnsi"/>
          <w:kern w:val="2"/>
          <w:sz w:val="32"/>
          <w:szCs w:val="32"/>
          <w:lang w:val="en-US" w:eastAsia="zh-CN" w:bidi="ar-SA"/>
        </w:rPr>
        <w:t>《深圳市体育彩票公益金管理办法》（深财规〔2015〕9号）第七条规定 “体彩公益金使用单位的主要职责如下：（一）建立健全并严格执行本单位体彩公益金支出审批等管理制度”，建立本单位体彩公益金管理制度是资金使用的基础，完善的政策制度可以大大提高体彩公益金的使用效益，而</w:t>
      </w:r>
      <w:r>
        <w:rPr>
          <w:rFonts w:hint="eastAsia" w:ascii="仿宋_GB2312" w:eastAsia="仿宋_GB2312" w:hAnsiTheme="minorHAnsi"/>
          <w:kern w:val="2"/>
          <w:sz w:val="32"/>
          <w:szCs w:val="32"/>
          <w:highlight w:val="none"/>
          <w:lang w:val="en-US" w:eastAsia="zh-CN"/>
        </w:rPr>
        <w:t>龙华区文体局使用体彩公益金主要依据</w:t>
      </w:r>
      <w:r>
        <w:rPr>
          <w:rFonts w:hint="eastAsia" w:ascii="仿宋_GB2312" w:eastAsia="仿宋_GB2312" w:cs="宋体" w:hAnsiTheme="minorHAnsi"/>
          <w:kern w:val="2"/>
          <w:sz w:val="32"/>
          <w:szCs w:val="32"/>
          <w:lang w:val="en-US" w:eastAsia="zh-CN" w:bidi="ar-SA"/>
        </w:rPr>
        <w:t>《深圳市体育彩票公益金管理办法》（深财规〔2015〕9号），未专门针对体彩公益金制定相关管理办法，没有为项目的设立、实施及监管提供充分适合龙华区文体局人员结构及下辖辖区居民实际情况的政策依据。</w:t>
      </w:r>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640" w:leftChars="0"/>
        <w:jc w:val="left"/>
        <w:textAlignment w:val="auto"/>
        <w:outlineLvl w:val="2"/>
        <w:rPr>
          <w:rFonts w:hint="eastAsia" w:ascii="仿宋_GB2312" w:eastAsia="仿宋_GB2312" w:cs="宋体" w:hAnsiTheme="minorHAnsi"/>
          <w:b/>
          <w:bCs/>
          <w:kern w:val="2"/>
          <w:sz w:val="32"/>
          <w:szCs w:val="32"/>
          <w:lang w:val="en-US" w:eastAsia="zh-CN" w:bidi="ar-SA"/>
        </w:rPr>
      </w:pPr>
      <w:bookmarkStart w:id="75" w:name="_Toc10308"/>
      <w:r>
        <w:rPr>
          <w:rFonts w:hint="eastAsia" w:ascii="仿宋_GB2312" w:eastAsia="仿宋_GB2312" w:cs="宋体" w:hAnsiTheme="minorHAnsi"/>
          <w:b/>
          <w:bCs/>
          <w:kern w:val="2"/>
          <w:sz w:val="32"/>
          <w:szCs w:val="32"/>
          <w:lang w:val="en-US" w:eastAsia="zh-CN" w:bidi="ar-SA"/>
        </w:rPr>
        <w:t>2.项目立项缺乏可行性研究</w:t>
      </w:r>
      <w:bookmarkEnd w:id="75"/>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firstLine="640" w:firstLineChars="200"/>
        <w:jc w:val="left"/>
        <w:textAlignment w:val="auto"/>
        <w:rPr>
          <w:rFonts w:hint="eastAsia" w:ascii="仿宋_GB2312" w:eastAsia="仿宋_GB2312" w:cs="宋体" w:hAnsiTheme="minorHAnsi"/>
          <w:b w:val="0"/>
          <w:bCs w:val="0"/>
          <w:kern w:val="2"/>
          <w:sz w:val="32"/>
          <w:szCs w:val="32"/>
          <w:lang w:val="en-US" w:eastAsia="zh-CN" w:bidi="ar-SA"/>
        </w:rPr>
      </w:pPr>
      <w:r>
        <w:rPr>
          <w:rFonts w:hint="eastAsia" w:ascii="仿宋_GB2312" w:eastAsia="仿宋_GB2312" w:cs="宋体" w:hAnsiTheme="minorHAnsi"/>
          <w:kern w:val="2"/>
          <w:sz w:val="32"/>
          <w:szCs w:val="32"/>
          <w:lang w:val="en-US" w:eastAsia="zh-CN" w:bidi="ar-SA"/>
        </w:rPr>
        <w:t>《深圳市体育彩票公益金管理办法》（深财规〔2015〕9号）第十二条规定“申报使用体彩公益金的项目支出必须符合体彩公益金的使用范围，项目申报材料应包括但不限于项目申报书、可行性研究、绩效目标、实施方案等内容”，由于龙华区文体局对上级政策文件解读不完整，加之没有制定适合自身情况的管理办法，不能为本单位人员提供明确的行为准则及具体工作流程，致使出现项目申报资料不全面的情况，在全民健身活动及竞技体育发展项目立项前未进行可行性研究，项目设立依据不充分。</w:t>
      </w:r>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left"/>
        <w:textAlignment w:val="auto"/>
        <w:outlineLvl w:val="1"/>
        <w:rPr>
          <w:rFonts w:hint="eastAsia" w:ascii="楷体" w:hAnsi="楷体" w:eastAsia="楷体" w:cs="楷体"/>
          <w:b/>
          <w:bCs/>
          <w:kern w:val="2"/>
          <w:sz w:val="32"/>
          <w:szCs w:val="32"/>
          <w:lang w:val="en-US" w:eastAsia="zh-CN"/>
        </w:rPr>
      </w:pPr>
      <w:bookmarkStart w:id="76" w:name="_Toc1322"/>
      <w:r>
        <w:rPr>
          <w:rFonts w:hint="eastAsia" w:ascii="楷体" w:hAnsi="楷体" w:eastAsia="楷体" w:cs="楷体"/>
          <w:b/>
          <w:bCs/>
          <w:kern w:val="2"/>
          <w:sz w:val="32"/>
          <w:szCs w:val="32"/>
          <w:lang w:val="en-US" w:eastAsia="zh-CN"/>
        </w:rPr>
        <w:t>(二）绩效指标编制有待提升</w:t>
      </w:r>
      <w:bookmarkEnd w:id="76"/>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640" w:leftChars="0"/>
        <w:jc w:val="left"/>
        <w:textAlignment w:val="auto"/>
        <w:outlineLvl w:val="2"/>
        <w:rPr>
          <w:rFonts w:hint="eastAsia" w:ascii="仿宋_GB2312" w:eastAsia="仿宋_GB2312" w:cs="宋体" w:hAnsiTheme="minorHAnsi"/>
          <w:b/>
          <w:bCs/>
          <w:kern w:val="2"/>
          <w:sz w:val="32"/>
          <w:szCs w:val="32"/>
          <w:lang w:val="en-US" w:eastAsia="zh-CN" w:bidi="ar-SA"/>
        </w:rPr>
      </w:pPr>
      <w:bookmarkStart w:id="77" w:name="_Toc16599"/>
      <w:r>
        <w:rPr>
          <w:rFonts w:hint="eastAsia" w:ascii="仿宋_GB2312" w:eastAsia="仿宋_GB2312" w:cs="宋体" w:hAnsiTheme="minorHAnsi"/>
          <w:b/>
          <w:bCs/>
          <w:kern w:val="2"/>
          <w:sz w:val="32"/>
          <w:szCs w:val="32"/>
          <w:lang w:val="en-US" w:eastAsia="zh-CN" w:bidi="ar-SA"/>
        </w:rPr>
        <w:t>1.绩效指标设定不准确</w:t>
      </w:r>
      <w:bookmarkEnd w:id="77"/>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both"/>
        <w:textAlignment w:val="auto"/>
        <w:rPr>
          <w:rFonts w:hint="eastAsia" w:ascii="仿宋_GB2312" w:eastAsia="仿宋_GB2312" w:cs="宋体" w:hAnsiTheme="minorHAnsi"/>
          <w:b w:val="0"/>
          <w:bCs w:val="0"/>
          <w:kern w:val="2"/>
          <w:sz w:val="32"/>
          <w:szCs w:val="32"/>
          <w:lang w:val="en-US" w:eastAsia="zh-CN" w:bidi="ar-SA"/>
        </w:rPr>
      </w:pPr>
      <w:r>
        <w:rPr>
          <w:rFonts w:hint="eastAsia" w:ascii="仿宋_GB2312" w:eastAsia="仿宋_GB2312" w:cs="宋体" w:hAnsiTheme="minorHAnsi"/>
          <w:b w:val="0"/>
          <w:bCs w:val="0"/>
          <w:kern w:val="2"/>
          <w:sz w:val="32"/>
          <w:szCs w:val="32"/>
          <w:lang w:val="en-US" w:eastAsia="zh-CN" w:bidi="ar-SA"/>
        </w:rPr>
        <w:t>竞技体育发展部分，龙华区文体局设定绩效指标“产出目标-数量-参赛人数”与“效果目标-社会效益-受益群体人数”反馈数据重复，绩效指标设定不准确。</w:t>
      </w:r>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both"/>
        <w:textAlignment w:val="auto"/>
        <w:rPr>
          <w:rFonts w:hint="eastAsia" w:ascii="仿宋_GB2312" w:eastAsia="仿宋_GB2312" w:cs="宋体" w:hAnsiTheme="minorHAnsi"/>
          <w:b w:val="0"/>
          <w:bCs w:val="0"/>
          <w:kern w:val="2"/>
          <w:sz w:val="32"/>
          <w:szCs w:val="32"/>
          <w:lang w:val="en-US" w:eastAsia="zh-CN" w:bidi="ar-SA"/>
        </w:rPr>
      </w:pPr>
      <w:r>
        <w:rPr>
          <w:rFonts w:hint="eastAsia" w:ascii="仿宋_GB2312" w:eastAsia="仿宋_GB2312" w:cs="宋体" w:hAnsiTheme="minorHAnsi"/>
          <w:b w:val="0"/>
          <w:bCs w:val="0"/>
          <w:kern w:val="2"/>
          <w:sz w:val="32"/>
          <w:szCs w:val="32"/>
          <w:lang w:val="en-US" w:eastAsia="zh-CN" w:bidi="ar-SA"/>
        </w:rPr>
        <w:t>全民健身活动部分，龙华区文体局设定绩效指标“产出目标-数量-参赛人数”与“效果目标-社会效益-受益人群数量”反馈数据重复；绩效指标“效果目标-满意度-运动员满意度”，未设定群众满意度，绩效指标设定与全民健身活动受益群体不一致，绩效指标设定不准确。</w:t>
      </w:r>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640" w:leftChars="0"/>
        <w:jc w:val="left"/>
        <w:textAlignment w:val="auto"/>
        <w:outlineLvl w:val="2"/>
        <w:rPr>
          <w:rFonts w:hint="eastAsia" w:ascii="仿宋_GB2312" w:eastAsia="仿宋_GB2312" w:cs="宋体" w:hAnsiTheme="minorHAnsi"/>
          <w:b/>
          <w:bCs/>
          <w:kern w:val="2"/>
          <w:sz w:val="32"/>
          <w:szCs w:val="32"/>
          <w:lang w:val="en-US" w:eastAsia="zh-CN" w:bidi="ar-SA"/>
        </w:rPr>
      </w:pPr>
      <w:bookmarkStart w:id="78" w:name="_Toc5150"/>
      <w:r>
        <w:rPr>
          <w:rFonts w:hint="eastAsia" w:ascii="仿宋_GB2312" w:eastAsia="仿宋_GB2312" w:cs="宋体" w:hAnsiTheme="minorHAnsi"/>
          <w:b/>
          <w:bCs/>
          <w:kern w:val="2"/>
          <w:sz w:val="32"/>
          <w:szCs w:val="32"/>
          <w:lang w:val="en-US" w:eastAsia="zh-CN" w:bidi="ar-SA"/>
        </w:rPr>
        <w:t>2.指标目标值设置不准确、不合理</w:t>
      </w:r>
      <w:bookmarkEnd w:id="78"/>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both"/>
        <w:textAlignment w:val="auto"/>
        <w:rPr>
          <w:rFonts w:hint="eastAsia" w:ascii="仿宋_GB2312" w:eastAsia="仿宋_GB2312" w:cs="宋体" w:hAnsiTheme="minorHAnsi"/>
          <w:b w:val="0"/>
          <w:bCs w:val="0"/>
          <w:kern w:val="2"/>
          <w:sz w:val="32"/>
          <w:szCs w:val="32"/>
          <w:lang w:val="en-US" w:eastAsia="zh-CN" w:bidi="ar-SA"/>
        </w:rPr>
      </w:pPr>
      <w:r>
        <w:rPr>
          <w:rFonts w:hint="eastAsia" w:ascii="仿宋_GB2312" w:eastAsia="仿宋_GB2312" w:cs="宋体" w:hAnsiTheme="minorHAnsi"/>
          <w:b w:val="0"/>
          <w:bCs w:val="0"/>
          <w:kern w:val="2"/>
          <w:sz w:val="32"/>
          <w:szCs w:val="32"/>
          <w:lang w:val="en-US" w:eastAsia="zh-CN" w:bidi="ar-SA"/>
        </w:rPr>
        <w:t>竞技体育发展部分，龙华区文体局年初设定绩效指标“产出目标-质量-参赛质量”与“效果目标-社会效益-宣传报道”，设置目标值均要求有50篇以上报道，两个不同指标目标值重复，目标值设置不准确。</w:t>
      </w:r>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both"/>
        <w:textAlignment w:val="auto"/>
        <w:rPr>
          <w:rFonts w:hint="eastAsia" w:ascii="仿宋_GB2312" w:eastAsia="仿宋_GB2312" w:cs="宋体" w:hAnsiTheme="minorHAnsi"/>
          <w:b w:val="0"/>
          <w:bCs w:val="0"/>
          <w:kern w:val="2"/>
          <w:sz w:val="32"/>
          <w:szCs w:val="32"/>
          <w:lang w:val="en-US" w:eastAsia="zh-CN" w:bidi="ar-SA"/>
        </w:rPr>
      </w:pPr>
      <w:r>
        <w:rPr>
          <w:rFonts w:hint="eastAsia" w:ascii="仿宋_GB2312" w:eastAsia="仿宋_GB2312" w:cs="宋体" w:hAnsiTheme="minorHAnsi"/>
          <w:b w:val="0"/>
          <w:bCs w:val="0"/>
          <w:kern w:val="2"/>
          <w:sz w:val="32"/>
          <w:szCs w:val="32"/>
          <w:lang w:val="en-US" w:eastAsia="zh-CN" w:bidi="ar-SA"/>
        </w:rPr>
        <w:t>全民健身活动部分，龙华区文体局年初设定绩效指标“产出目标-质量-赛事品质”与“效果目标-社会效益-宣传报道”，二者设置目标值均对报道数量有具体要求，其中“产出目标-质量-赛事品质”设置目标值要求有50篇以上报道，“效果目标-社会效益-宣传报道”设置目标值要求有100篇以上报道，两个不同指标目标值重复，目标值设置不准确；另外，绩效指标“产出目标-数量-活动赛事场次”目标值设置为“达2000场次”，而绩效指标“效果目标-社会效益-宣传报道”目标值设置为“100篇以上”，二者指标值设置偏差较大，目标值设置不合理。</w:t>
      </w:r>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640" w:leftChars="0"/>
        <w:jc w:val="left"/>
        <w:textAlignment w:val="auto"/>
        <w:outlineLvl w:val="2"/>
        <w:rPr>
          <w:rFonts w:hint="eastAsia" w:ascii="仿宋_GB2312" w:eastAsia="仿宋_GB2312" w:cs="宋体" w:hAnsiTheme="minorHAnsi"/>
          <w:b/>
          <w:bCs/>
          <w:kern w:val="2"/>
          <w:sz w:val="32"/>
          <w:szCs w:val="32"/>
          <w:lang w:val="en-US" w:eastAsia="zh-CN" w:bidi="ar-SA"/>
        </w:rPr>
      </w:pPr>
      <w:bookmarkStart w:id="79" w:name="_Toc20239"/>
      <w:r>
        <w:rPr>
          <w:rFonts w:hint="eastAsia" w:ascii="仿宋_GB2312" w:eastAsia="仿宋_GB2312" w:cs="宋体" w:hAnsiTheme="minorHAnsi"/>
          <w:b/>
          <w:bCs/>
          <w:kern w:val="2"/>
          <w:sz w:val="32"/>
          <w:szCs w:val="32"/>
          <w:lang w:val="en-US" w:eastAsia="zh-CN" w:bidi="ar-SA"/>
        </w:rPr>
        <w:t>3.指标目标值设置不完整、不明晰</w:t>
      </w:r>
      <w:bookmarkEnd w:id="79"/>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both"/>
        <w:textAlignment w:val="auto"/>
        <w:rPr>
          <w:rFonts w:hint="eastAsia" w:ascii="仿宋_GB2312" w:eastAsia="仿宋_GB2312" w:cs="宋体" w:hAnsiTheme="minorHAnsi"/>
          <w:b w:val="0"/>
          <w:bCs w:val="0"/>
          <w:kern w:val="2"/>
          <w:sz w:val="32"/>
          <w:szCs w:val="32"/>
          <w:lang w:val="en-US" w:eastAsia="zh-CN" w:bidi="ar-SA"/>
        </w:rPr>
      </w:pPr>
      <w:r>
        <w:rPr>
          <w:rFonts w:hint="eastAsia" w:ascii="仿宋_GB2312" w:eastAsia="仿宋_GB2312" w:cs="宋体" w:hAnsiTheme="minorHAnsi"/>
          <w:b w:val="0"/>
          <w:bCs w:val="0"/>
          <w:kern w:val="2"/>
          <w:sz w:val="32"/>
          <w:szCs w:val="32"/>
          <w:lang w:val="en-US" w:eastAsia="zh-CN" w:bidi="ar-SA"/>
        </w:rPr>
        <w:t>体育设施建设部分，龙华区文体局年初设定绩效指标“产出目标-质量”，指标目标值设定为“确保产品正规厂家生产，质量合格”，未涵盖设施品牌型号与合同的一致性、设施安装安全性、完整性等方面，目标值设置不完整。</w:t>
      </w:r>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both"/>
        <w:textAlignment w:val="auto"/>
        <w:rPr>
          <w:rFonts w:hint="eastAsia" w:ascii="仿宋_GB2312" w:eastAsia="仿宋_GB2312" w:cs="宋体" w:hAnsiTheme="minorHAnsi"/>
          <w:b w:val="0"/>
          <w:bCs w:val="0"/>
          <w:kern w:val="2"/>
          <w:sz w:val="32"/>
          <w:szCs w:val="32"/>
          <w:lang w:val="en-US" w:eastAsia="zh-CN" w:bidi="ar-SA"/>
        </w:rPr>
      </w:pPr>
      <w:r>
        <w:rPr>
          <w:rFonts w:hint="eastAsia" w:ascii="仿宋_GB2312" w:eastAsia="仿宋_GB2312" w:cs="宋体" w:hAnsiTheme="minorHAnsi"/>
          <w:b w:val="0"/>
          <w:bCs w:val="0"/>
          <w:kern w:val="2"/>
          <w:sz w:val="32"/>
          <w:szCs w:val="32"/>
          <w:lang w:val="en-US" w:eastAsia="zh-CN" w:bidi="ar-SA"/>
        </w:rPr>
        <w:t>竞技体育发展部分，龙华区文体局年初设定绩效指标“产出目标-时效-参赛时长、训练时长”，指标目标值设定为“全年”，未具体量化至小时；绩效指标“效果目标-满意度-运动员满意度”，指标目标值设定为“满意”，未确定具体百分比，目标值设置不明晰，量化性不足。</w:t>
      </w:r>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both"/>
        <w:textAlignment w:val="auto"/>
        <w:rPr>
          <w:rFonts w:hint="eastAsia" w:ascii="仿宋_GB2312" w:eastAsia="仿宋_GB2312" w:cs="宋体" w:hAnsiTheme="minorHAnsi"/>
          <w:b w:val="0"/>
          <w:bCs w:val="0"/>
          <w:kern w:val="2"/>
          <w:sz w:val="32"/>
          <w:szCs w:val="32"/>
          <w:lang w:val="en-US" w:eastAsia="zh-CN" w:bidi="ar-SA"/>
        </w:rPr>
      </w:pPr>
      <w:r>
        <w:rPr>
          <w:rFonts w:hint="eastAsia" w:ascii="仿宋_GB2312" w:eastAsia="仿宋_GB2312" w:cs="宋体" w:hAnsiTheme="minorHAnsi"/>
          <w:b w:val="0"/>
          <w:bCs w:val="0"/>
          <w:kern w:val="2"/>
          <w:sz w:val="32"/>
          <w:szCs w:val="32"/>
          <w:lang w:val="en-US" w:eastAsia="zh-CN" w:bidi="ar-SA"/>
        </w:rPr>
        <w:t>全民健身活动部分，龙华区文体局年初设定绩效指标“产出目标-时效-活动时效”，指标目标值设定为“全年”，未具体量化至小时；绩效指标“效果目标-满意度-运动员满意度”，指标目标值设定为“满意”，未确定具体百分比，目标值不明晰，量化性不足。</w:t>
      </w:r>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left"/>
        <w:textAlignment w:val="auto"/>
        <w:outlineLvl w:val="1"/>
        <w:rPr>
          <w:rFonts w:hint="eastAsia" w:ascii="仿宋_GB2312" w:eastAsia="仿宋_GB2312" w:cs="宋体" w:hAnsiTheme="minorHAnsi"/>
          <w:b w:val="0"/>
          <w:bCs w:val="0"/>
          <w:kern w:val="2"/>
          <w:sz w:val="32"/>
          <w:szCs w:val="32"/>
          <w:lang w:val="en-US" w:eastAsia="zh-CN" w:bidi="ar-SA"/>
        </w:rPr>
      </w:pPr>
      <w:bookmarkStart w:id="80" w:name="_Toc26846"/>
      <w:r>
        <w:rPr>
          <w:rFonts w:hint="eastAsia" w:ascii="楷体" w:hAnsi="楷体" w:eastAsia="楷体" w:cs="楷体"/>
          <w:b/>
          <w:bCs/>
          <w:kern w:val="2"/>
          <w:sz w:val="32"/>
          <w:szCs w:val="32"/>
          <w:lang w:val="en-US" w:eastAsia="zh-CN"/>
        </w:rPr>
        <w:t>（三）监督管理不到位</w:t>
      </w:r>
      <w:bookmarkEnd w:id="80"/>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left"/>
        <w:textAlignment w:val="auto"/>
        <w:outlineLvl w:val="2"/>
        <w:rPr>
          <w:rFonts w:hint="eastAsia" w:ascii="仿宋_GB2312" w:eastAsia="仿宋_GB2312" w:cs="宋体" w:hAnsiTheme="minorHAnsi"/>
          <w:b/>
          <w:bCs/>
          <w:kern w:val="2"/>
          <w:sz w:val="32"/>
          <w:szCs w:val="32"/>
          <w:lang w:val="en-US" w:eastAsia="zh-CN" w:bidi="ar-SA"/>
        </w:rPr>
      </w:pPr>
      <w:bookmarkStart w:id="81" w:name="_Toc31121"/>
      <w:r>
        <w:rPr>
          <w:rFonts w:hint="eastAsia" w:ascii="仿宋_GB2312" w:eastAsia="仿宋_GB2312" w:cs="宋体" w:hAnsiTheme="minorHAnsi"/>
          <w:b/>
          <w:bCs/>
          <w:kern w:val="2"/>
          <w:sz w:val="32"/>
          <w:szCs w:val="32"/>
          <w:lang w:val="en-US" w:eastAsia="zh-CN" w:bidi="ar-SA"/>
        </w:rPr>
        <w:t>1.新建体育设施验收过程不严谨</w:t>
      </w:r>
      <w:bookmarkEnd w:id="81"/>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both"/>
        <w:textAlignment w:val="auto"/>
        <w:rPr>
          <w:rFonts w:hint="eastAsia" w:ascii="仿宋_GB2312" w:eastAsia="仿宋_GB2312" w:cs="宋体" w:hAnsiTheme="minorHAnsi"/>
          <w:b w:val="0"/>
          <w:bCs w:val="0"/>
          <w:kern w:val="2"/>
          <w:sz w:val="32"/>
          <w:szCs w:val="32"/>
          <w:lang w:val="en-US" w:eastAsia="zh-CN" w:bidi="ar-SA"/>
        </w:rPr>
      </w:pPr>
      <w:r>
        <w:rPr>
          <w:rFonts w:hint="eastAsia" w:ascii="仿宋_GB2312" w:eastAsia="仿宋_GB2312" w:cs="宋体" w:hAnsiTheme="minorHAnsi"/>
          <w:b w:val="0"/>
          <w:bCs w:val="0"/>
          <w:kern w:val="2"/>
          <w:sz w:val="32"/>
          <w:szCs w:val="32"/>
          <w:lang w:val="en-US" w:eastAsia="zh-CN" w:bidi="ar-SA"/>
        </w:rPr>
        <w:t>《深圳经济特区政府采购条例》（深圳市第五届人民代表大会常务委员会公告第67号）第三十九条规定“采购人应当按照采购文件和政府采购合同规定的标准和方法，及时组织验收”，2021年9月1日，评价小组随机抽取12处乒乓球台进行实地调研，发现其中3处(白石龙一区151栋、金庸阁小区、龙华人民北路龙华商业中心购物广场B3栋2楼)乒乓球台存在包装未拆封的情况，数量占比为25%；其中6处(如：东华明珠园小区、壹城中心九区、富通天骏小区、福苑工业区9栋、和平里一期、壹城中心花园五区)乒乓球台型号与采购合同约定不一致，数量占比为50%（详见表6）；</w:t>
      </w:r>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both"/>
        <w:textAlignment w:val="auto"/>
        <w:rPr>
          <w:rFonts w:hint="eastAsia" w:ascii="仿宋" w:hAnsi="仿宋" w:eastAsia="仿宋" w:cs="仿宋"/>
          <w:b/>
          <w:bCs/>
          <w:kern w:val="2"/>
          <w:sz w:val="28"/>
          <w:szCs w:val="28"/>
          <w:lang w:val="en-US" w:eastAsia="zh-CN" w:bidi="ar-SA"/>
        </w:rPr>
      </w:pPr>
      <w:r>
        <w:rPr>
          <w:rFonts w:hint="eastAsia" w:ascii="仿宋_GB2312" w:eastAsia="仿宋_GB2312" w:cs="宋体" w:hAnsiTheme="minorHAnsi"/>
          <w:b w:val="0"/>
          <w:bCs w:val="0"/>
          <w:kern w:val="2"/>
          <w:sz w:val="32"/>
          <w:szCs w:val="32"/>
          <w:lang w:val="en-US" w:eastAsia="zh-CN" w:bidi="ar-SA"/>
        </w:rPr>
        <w:t>同时，购置于民塘路和平里一期室外健身路径—塑木系列室外健身器材一套，涉及金额6.34万元，实地调研时发现未安装，购置于博纳精密给药公司的室外健身路径—塑木系列室外健身器材一套，涉及金额6.34万元，未安装“腰背伸展器”及地面装防滑垫。</w:t>
      </w:r>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left"/>
        <w:textAlignment w:val="auto"/>
        <w:outlineLvl w:val="2"/>
        <w:rPr>
          <w:rFonts w:hint="eastAsia" w:ascii="仿宋_GB2312" w:eastAsia="仿宋_GB2312" w:cs="宋体" w:hAnsiTheme="minorHAnsi"/>
          <w:b/>
          <w:bCs/>
          <w:kern w:val="2"/>
          <w:sz w:val="32"/>
          <w:szCs w:val="32"/>
          <w:lang w:val="en-US" w:eastAsia="zh-CN" w:bidi="ar-SA"/>
        </w:rPr>
      </w:pPr>
      <w:bookmarkStart w:id="82" w:name="_Toc15456"/>
      <w:r>
        <w:rPr>
          <w:rFonts w:hint="eastAsia" w:ascii="仿宋_GB2312" w:eastAsia="仿宋_GB2312" w:cs="宋体" w:hAnsiTheme="minorHAnsi"/>
          <w:b/>
          <w:bCs/>
          <w:kern w:val="2"/>
          <w:sz w:val="32"/>
          <w:szCs w:val="32"/>
          <w:lang w:val="en-US" w:eastAsia="zh-CN" w:bidi="ar-SA"/>
        </w:rPr>
        <w:t>2.新建体育设施未粘贴“彩票公益金资助——中国体育彩票”标识</w:t>
      </w:r>
      <w:bookmarkEnd w:id="82"/>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both"/>
        <w:textAlignment w:val="auto"/>
        <w:rPr>
          <w:rFonts w:hint="default" w:ascii="仿宋_GB2312" w:eastAsia="仿宋_GB2312" w:cs="宋体" w:hAnsiTheme="minorHAnsi"/>
          <w:b w:val="0"/>
          <w:bCs w:val="0"/>
          <w:kern w:val="2"/>
          <w:sz w:val="32"/>
          <w:szCs w:val="32"/>
          <w:lang w:val="en-US" w:eastAsia="zh-CN" w:bidi="ar-SA"/>
        </w:rPr>
      </w:pPr>
      <w:r>
        <w:rPr>
          <w:rFonts w:hint="eastAsia" w:ascii="仿宋_GB2312" w:eastAsia="仿宋_GB2312" w:cs="宋体" w:hAnsiTheme="minorHAnsi"/>
          <w:b w:val="0"/>
          <w:bCs w:val="0"/>
          <w:kern w:val="2"/>
          <w:sz w:val="32"/>
          <w:szCs w:val="32"/>
          <w:lang w:val="en-US" w:eastAsia="zh-CN" w:bidi="ar-SA"/>
        </w:rPr>
        <w:t>《深圳市体育彩票公益金管理办法》（深财规〔2015〕9号）第十六条规定“体彩公益金资助的基本建设设施、设备或者社会公益活动，应当以显著方式标明“彩票公益金资助——中国体育彩票”。行政事业单位使用体彩公益金形成的固定资产，按照国有资产管理的规定管理”，2021年9月1日，评价小组从81处体育设施中随机抽取22处体育设施进行实地查验，发现有17处未粘贴“彩票公益金资助——中国体育彩票”标识，数量占比达77.27%，且22处体育设施未粘贴固定资产标签，数量占比达100.00%，新建体育设施监督管理力度有待增强。</w:t>
      </w:r>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660" w:leftChars="0"/>
        <w:jc w:val="left"/>
        <w:textAlignment w:val="auto"/>
        <w:outlineLvl w:val="2"/>
        <w:rPr>
          <w:rFonts w:hint="eastAsia" w:ascii="仿宋_GB2312" w:eastAsia="仿宋_GB2312" w:cs="宋体" w:hAnsiTheme="minorHAnsi"/>
          <w:b/>
          <w:bCs/>
          <w:kern w:val="2"/>
          <w:sz w:val="32"/>
          <w:szCs w:val="32"/>
          <w:lang w:val="en-US" w:eastAsia="zh-CN" w:bidi="ar-SA"/>
        </w:rPr>
      </w:pPr>
      <w:bookmarkStart w:id="83" w:name="_Toc24624"/>
      <w:bookmarkStart w:id="84" w:name="_Toc5662"/>
      <w:r>
        <w:rPr>
          <w:rFonts w:hint="eastAsia" w:ascii="仿宋_GB2312" w:eastAsia="仿宋_GB2312" w:cs="宋体" w:hAnsiTheme="minorHAnsi"/>
          <w:b/>
          <w:bCs/>
          <w:kern w:val="2"/>
          <w:sz w:val="32"/>
          <w:szCs w:val="32"/>
          <w:lang w:val="en-US" w:eastAsia="zh-CN" w:bidi="ar-SA"/>
        </w:rPr>
        <w:t>3.项目后续监管不到位</w:t>
      </w:r>
      <w:bookmarkEnd w:id="83"/>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left"/>
        <w:textAlignment w:val="auto"/>
        <w:rPr>
          <w:rFonts w:hint="eastAsia" w:ascii="仿宋_GB2312" w:eastAsia="仿宋_GB2312" w:cs="宋体" w:hAnsiTheme="minorHAnsi"/>
          <w:b w:val="0"/>
          <w:bCs w:val="0"/>
          <w:kern w:val="2"/>
          <w:sz w:val="32"/>
          <w:szCs w:val="32"/>
          <w:highlight w:val="none"/>
          <w:lang w:val="en-US" w:eastAsia="zh-CN" w:bidi="ar-SA"/>
        </w:rPr>
      </w:pPr>
      <w:r>
        <w:rPr>
          <w:rFonts w:hint="eastAsia" w:ascii="仿宋_GB2312" w:eastAsia="仿宋_GB2312" w:cs="宋体" w:hAnsiTheme="minorHAnsi"/>
          <w:b w:val="0"/>
          <w:bCs w:val="0"/>
          <w:kern w:val="2"/>
          <w:sz w:val="32"/>
          <w:szCs w:val="32"/>
          <w:highlight w:val="none"/>
          <w:lang w:val="en-US" w:eastAsia="zh-CN" w:bidi="ar-SA"/>
        </w:rPr>
        <w:t>2020年度，龙华区文体局投放一个篮球场及一套健身路径于观澜版画基地，涉及金额482,520.00元，评价小组对其进行实地调研发现，投放的体育设施未对外开放，非内部工作人员无法使用；同时，龙华区文体局投放一台室内乒乓球台于福苑工业区9栋，涉及金额3,750.00元，评价小组对其进行实地查验发现，该乒乓球台长期未对外开放。</w:t>
      </w:r>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left"/>
        <w:textAlignment w:val="auto"/>
        <w:rPr>
          <w:rFonts w:hint="default" w:ascii="仿宋_GB2312" w:eastAsia="仿宋_GB2312" w:cs="宋体" w:hAnsiTheme="minorHAnsi"/>
          <w:b w:val="0"/>
          <w:bCs w:val="0"/>
          <w:kern w:val="2"/>
          <w:sz w:val="32"/>
          <w:szCs w:val="32"/>
          <w:highlight w:val="none"/>
          <w:lang w:val="en-US" w:eastAsia="zh-CN" w:bidi="ar-SA"/>
        </w:rPr>
      </w:pPr>
      <w:r>
        <w:rPr>
          <w:rFonts w:hint="eastAsia" w:ascii="仿宋_GB2312" w:eastAsia="仿宋_GB2312" w:cs="宋体" w:hAnsiTheme="minorHAnsi"/>
          <w:b w:val="0"/>
          <w:bCs w:val="0"/>
          <w:kern w:val="2"/>
          <w:sz w:val="32"/>
          <w:szCs w:val="32"/>
          <w:highlight w:val="none"/>
          <w:lang w:val="en-US" w:eastAsia="zh-CN" w:bidi="ar-SA"/>
        </w:rPr>
        <w:t>龙华区文体局对已实施项目的后续监管不到位，致使出现上述情况，也使体彩金的惠民力度大大降低，项目实施效益大打折扣。</w:t>
      </w:r>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660" w:leftChars="0"/>
        <w:jc w:val="left"/>
        <w:textAlignment w:val="auto"/>
        <w:outlineLvl w:val="2"/>
        <w:rPr>
          <w:rFonts w:hint="eastAsia" w:ascii="仿宋_GB2312" w:eastAsia="仿宋_GB2312" w:cs="宋体" w:hAnsiTheme="minorHAnsi"/>
          <w:b/>
          <w:bCs/>
          <w:kern w:val="2"/>
          <w:sz w:val="32"/>
          <w:szCs w:val="32"/>
          <w:lang w:val="en-US" w:eastAsia="zh-CN" w:bidi="ar-SA"/>
        </w:rPr>
      </w:pPr>
      <w:bookmarkStart w:id="85" w:name="_Toc21565"/>
      <w:r>
        <w:rPr>
          <w:rFonts w:hint="eastAsia" w:ascii="仿宋_GB2312" w:eastAsia="仿宋_GB2312" w:cs="宋体" w:hAnsiTheme="minorHAnsi"/>
          <w:b/>
          <w:bCs/>
          <w:kern w:val="2"/>
          <w:sz w:val="32"/>
          <w:szCs w:val="32"/>
          <w:lang w:val="en-US" w:eastAsia="zh-CN" w:bidi="ar-SA"/>
        </w:rPr>
        <w:t>4.体彩公益金筹集及使用情况未进行公示</w:t>
      </w:r>
      <w:bookmarkEnd w:id="84"/>
      <w:bookmarkEnd w:id="85"/>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left"/>
        <w:textAlignment w:val="auto"/>
        <w:rPr>
          <w:rFonts w:hint="default" w:ascii="仿宋_GB2312" w:eastAsia="仿宋_GB2312" w:cs="宋体" w:hAnsiTheme="minorHAnsi"/>
          <w:b w:val="0"/>
          <w:bCs w:val="0"/>
          <w:kern w:val="2"/>
          <w:sz w:val="32"/>
          <w:szCs w:val="32"/>
          <w:lang w:val="en-US" w:eastAsia="zh-CN" w:bidi="ar-SA"/>
        </w:rPr>
      </w:pPr>
      <w:r>
        <w:rPr>
          <w:rFonts w:hint="eastAsia" w:ascii="仿宋_GB2312" w:eastAsia="仿宋_GB2312" w:cs="宋体" w:hAnsiTheme="minorHAnsi"/>
          <w:b w:val="0"/>
          <w:bCs w:val="0"/>
          <w:kern w:val="2"/>
          <w:sz w:val="32"/>
          <w:szCs w:val="32"/>
          <w:lang w:val="en-US" w:eastAsia="zh-CN" w:bidi="ar-SA"/>
        </w:rPr>
        <w:t>《深圳市体育彩票公益金管理办法》（深财规〔2015〕9号）第十八条规定“体育行政部门于每年6月底前向社会公告上一年度体彩公益金的使用规模、资助项目、执行情况和实际效果等”，龙华区文体局未对</w:t>
      </w:r>
      <w:r>
        <w:rPr>
          <w:rFonts w:hint="default" w:ascii="仿宋_GB2312" w:eastAsia="仿宋_GB2312" w:cs="宋体" w:hAnsiTheme="minorHAnsi"/>
          <w:b w:val="0"/>
          <w:bCs w:val="0"/>
          <w:kern w:val="2"/>
          <w:sz w:val="32"/>
          <w:szCs w:val="32"/>
          <w:lang w:val="en-US" w:eastAsia="zh-CN" w:bidi="ar-SA"/>
        </w:rPr>
        <w:t>2020年度体彩公益金筹集及使用情况进行公示，</w:t>
      </w:r>
      <w:r>
        <w:rPr>
          <w:rFonts w:hint="eastAsia" w:ascii="仿宋_GB2312" w:eastAsia="仿宋_GB2312" w:cs="宋体" w:hAnsiTheme="minorHAnsi"/>
          <w:b w:val="0"/>
          <w:bCs w:val="0"/>
          <w:kern w:val="2"/>
          <w:sz w:val="32"/>
          <w:szCs w:val="32"/>
          <w:lang w:val="en-US" w:eastAsia="zh-CN" w:bidi="ar-SA"/>
        </w:rPr>
        <w:t>信息透明度不足，社会效益降低。</w:t>
      </w:r>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640" w:leftChars="0"/>
        <w:jc w:val="left"/>
        <w:textAlignment w:val="auto"/>
        <w:outlineLvl w:val="0"/>
        <w:rPr>
          <w:rFonts w:hint="eastAsia" w:ascii="黑体" w:hAnsi="黑体" w:eastAsia="黑体" w:cs="黑体"/>
          <w:kern w:val="2"/>
          <w:sz w:val="32"/>
          <w:szCs w:val="32"/>
          <w:lang w:val="en-US" w:eastAsia="zh-CN"/>
        </w:rPr>
      </w:pPr>
      <w:bookmarkStart w:id="86" w:name="_Toc11530"/>
      <w:r>
        <w:rPr>
          <w:rFonts w:hint="eastAsia" w:ascii="黑体" w:hAnsi="黑体" w:eastAsia="黑体" w:cs="黑体"/>
          <w:kern w:val="2"/>
          <w:sz w:val="32"/>
          <w:szCs w:val="32"/>
          <w:lang w:val="en-US" w:eastAsia="zh-CN"/>
        </w:rPr>
        <w:t>六、相关建议</w:t>
      </w:r>
      <w:bookmarkEnd w:id="86"/>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left"/>
        <w:textAlignment w:val="auto"/>
        <w:rPr>
          <w:rFonts w:hint="eastAsia" w:ascii="仿宋_GB2312" w:eastAsia="仿宋_GB2312" w:cs="宋体" w:hAnsiTheme="minorHAnsi"/>
          <w:kern w:val="2"/>
          <w:sz w:val="32"/>
          <w:szCs w:val="32"/>
          <w:lang w:val="en-US" w:eastAsia="zh-CN" w:bidi="ar-SA"/>
        </w:rPr>
      </w:pPr>
      <w:r>
        <w:rPr>
          <w:rFonts w:hint="eastAsia" w:ascii="仿宋_GB2312" w:eastAsia="仿宋_GB2312" w:cs="宋体" w:hAnsiTheme="minorHAnsi"/>
          <w:kern w:val="2"/>
          <w:sz w:val="32"/>
          <w:szCs w:val="32"/>
          <w:lang w:val="en-US" w:eastAsia="zh-CN" w:bidi="ar-SA"/>
        </w:rPr>
        <w:t>为进一步加强龙华区体彩公益金的管理，提高资金使用效益，评价小组建议：细化设计政策实施细则，规范项目设立程序，严格按照政策文件实施，完善监管步骤，加强宣传力度，定期对居民需求进行采集。</w:t>
      </w:r>
    </w:p>
    <w:p>
      <w:pPr>
        <w:keepNext w:val="0"/>
        <w:keepLines w:val="0"/>
        <w:pageBreakBefore w:val="0"/>
        <w:widowControl w:val="0"/>
        <w:numPr>
          <w:ilvl w:val="0"/>
          <w:numId w:val="4"/>
        </w:numPr>
        <w:kinsoku/>
        <w:wordWrap/>
        <w:overflowPunct/>
        <w:topLinePunct w:val="0"/>
        <w:autoSpaceDE/>
        <w:autoSpaceDN/>
        <w:bidi w:val="0"/>
        <w:adjustRightInd w:val="0"/>
        <w:snapToGrid/>
        <w:spacing w:after="0" w:line="560" w:lineRule="exact"/>
        <w:ind w:firstLine="640" w:firstLineChars="200"/>
        <w:jc w:val="left"/>
        <w:textAlignment w:val="auto"/>
        <w:outlineLvl w:val="1"/>
        <w:rPr>
          <w:rFonts w:hint="eastAsia" w:ascii="楷体" w:hAnsi="楷体" w:eastAsia="楷体" w:cs="楷体"/>
          <w:b/>
          <w:bCs/>
          <w:kern w:val="2"/>
          <w:sz w:val="32"/>
          <w:szCs w:val="32"/>
          <w:lang w:val="en-US" w:eastAsia="zh-CN"/>
        </w:rPr>
      </w:pPr>
      <w:bookmarkStart w:id="87" w:name="_Toc18802"/>
      <w:r>
        <w:rPr>
          <w:rFonts w:hint="eastAsia" w:ascii="楷体" w:hAnsi="楷体" w:eastAsia="楷体" w:cs="楷体"/>
          <w:b/>
          <w:bCs/>
          <w:kern w:val="2"/>
          <w:sz w:val="32"/>
          <w:szCs w:val="32"/>
          <w:lang w:val="en-US" w:eastAsia="zh-CN"/>
        </w:rPr>
        <w:t>完善制度，提高体育彩票公益金的使用效益</w:t>
      </w:r>
      <w:bookmarkEnd w:id="87"/>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left"/>
        <w:textAlignment w:val="auto"/>
        <w:rPr>
          <w:rFonts w:hint="eastAsia" w:ascii="仿宋_GB2312" w:eastAsia="仿宋_GB2312" w:cs="宋体" w:hAnsiTheme="minorHAnsi"/>
          <w:kern w:val="2"/>
          <w:sz w:val="32"/>
          <w:szCs w:val="32"/>
          <w:lang w:val="en-US" w:eastAsia="zh-CN" w:bidi="ar-SA"/>
        </w:rPr>
      </w:pPr>
      <w:r>
        <w:rPr>
          <w:rFonts w:hint="eastAsia" w:ascii="仿宋_GB2312" w:eastAsia="仿宋_GB2312" w:cs="宋体" w:hAnsiTheme="minorHAnsi"/>
          <w:kern w:val="2"/>
          <w:sz w:val="32"/>
          <w:szCs w:val="32"/>
          <w:lang w:val="en-US" w:eastAsia="zh-CN" w:bidi="ar-SA"/>
        </w:rPr>
        <w:t>配套制度的建立是项目开展的基础，完善的制度可以明确项目申报、实施、监管、公示程序，大大提高资金使用效益。龙华区文体局应</w:t>
      </w:r>
      <w:r>
        <w:rPr>
          <w:rFonts w:hint="eastAsia" w:ascii="仿宋_GB2312" w:eastAsia="仿宋_GB2312" w:cs="宋体" w:hAnsiTheme="minorHAnsi"/>
          <w:b w:val="0"/>
          <w:bCs w:val="0"/>
          <w:kern w:val="2"/>
          <w:sz w:val="32"/>
          <w:szCs w:val="32"/>
          <w:lang w:val="en-US" w:eastAsia="zh-CN" w:bidi="ar-SA"/>
        </w:rPr>
        <w:t>积极构建适合</w:t>
      </w:r>
      <w:r>
        <w:rPr>
          <w:rFonts w:hint="eastAsia" w:ascii="仿宋_GB2312" w:eastAsia="仿宋_GB2312" w:cs="宋体" w:hAnsiTheme="minorHAnsi"/>
          <w:kern w:val="2"/>
          <w:sz w:val="32"/>
          <w:szCs w:val="32"/>
          <w:lang w:val="en-US" w:eastAsia="zh-CN" w:bidi="ar-SA"/>
        </w:rPr>
        <w:t>龙华区文体局内部结构及下辖辖区居民实际情况的体彩公益金使用依据，为后续工作的实施提供指引。</w:t>
      </w:r>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left"/>
        <w:textAlignment w:val="auto"/>
        <w:rPr>
          <w:rFonts w:hint="eastAsia" w:ascii="仿宋_GB2312" w:eastAsia="仿宋_GB2312" w:cs="宋体" w:hAnsiTheme="minorHAnsi"/>
          <w:b w:val="0"/>
          <w:bCs w:val="0"/>
          <w:kern w:val="2"/>
          <w:sz w:val="32"/>
          <w:szCs w:val="32"/>
          <w:lang w:val="en-US" w:eastAsia="zh-CN" w:bidi="ar-SA"/>
        </w:rPr>
      </w:pPr>
      <w:r>
        <w:rPr>
          <w:rFonts w:hint="eastAsia" w:ascii="仿宋_GB2312" w:eastAsia="仿宋_GB2312" w:cs="宋体" w:hAnsiTheme="minorHAnsi"/>
          <w:kern w:val="2"/>
          <w:sz w:val="32"/>
          <w:szCs w:val="32"/>
          <w:lang w:val="en-US" w:eastAsia="zh-CN" w:bidi="ar-SA"/>
        </w:rPr>
        <w:t>同时，评价小组建议龙华区文体局应加强对政策文件的解读，避免再次出现立项缺乏可行性研究，购建设施未按照国有资产规定管理等情况，严格执行政策要求，切实做到每一环节均有据可依，有据可查。</w:t>
      </w:r>
    </w:p>
    <w:p>
      <w:pPr>
        <w:keepNext w:val="0"/>
        <w:keepLines w:val="0"/>
        <w:pageBreakBefore w:val="0"/>
        <w:widowControl w:val="0"/>
        <w:numPr>
          <w:ilvl w:val="0"/>
          <w:numId w:val="4"/>
        </w:numPr>
        <w:kinsoku/>
        <w:wordWrap/>
        <w:overflowPunct/>
        <w:topLinePunct w:val="0"/>
        <w:autoSpaceDE/>
        <w:autoSpaceDN/>
        <w:bidi w:val="0"/>
        <w:adjustRightInd w:val="0"/>
        <w:snapToGrid/>
        <w:spacing w:after="0" w:line="560" w:lineRule="exact"/>
        <w:ind w:left="0" w:leftChars="0" w:firstLine="640" w:firstLineChars="200"/>
        <w:jc w:val="left"/>
        <w:textAlignment w:val="auto"/>
        <w:outlineLvl w:val="1"/>
        <w:rPr>
          <w:rFonts w:hint="eastAsia" w:ascii="楷体" w:hAnsi="楷体" w:eastAsia="楷体" w:cs="楷体"/>
          <w:b/>
          <w:bCs/>
          <w:kern w:val="2"/>
          <w:sz w:val="32"/>
          <w:szCs w:val="32"/>
          <w:lang w:val="en-US" w:eastAsia="zh-CN"/>
        </w:rPr>
      </w:pPr>
      <w:bookmarkStart w:id="88" w:name="_Toc28350"/>
      <w:r>
        <w:rPr>
          <w:rFonts w:hint="eastAsia" w:ascii="楷体" w:hAnsi="楷体" w:eastAsia="楷体" w:cs="楷体"/>
          <w:b/>
          <w:bCs/>
          <w:kern w:val="2"/>
          <w:sz w:val="32"/>
          <w:szCs w:val="32"/>
          <w:lang w:val="en-US" w:eastAsia="zh-CN"/>
        </w:rPr>
        <w:t>加强项目验收工作，定期公示、回访，及时了解居民需求</w:t>
      </w:r>
      <w:bookmarkEnd w:id="88"/>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left"/>
        <w:textAlignment w:val="auto"/>
        <w:rPr>
          <w:rFonts w:hint="eastAsia" w:ascii="仿宋_GB2312" w:eastAsia="仿宋_GB2312" w:cs="宋体" w:hAnsiTheme="minorHAnsi"/>
          <w:kern w:val="2"/>
          <w:sz w:val="32"/>
          <w:szCs w:val="32"/>
          <w:lang w:val="en-US" w:eastAsia="zh-CN" w:bidi="ar-SA"/>
        </w:rPr>
      </w:pPr>
      <w:r>
        <w:rPr>
          <w:rFonts w:hint="eastAsia" w:ascii="仿宋_GB2312" w:eastAsia="仿宋_GB2312" w:cs="宋体" w:hAnsiTheme="minorHAnsi"/>
          <w:kern w:val="2"/>
          <w:sz w:val="32"/>
          <w:szCs w:val="32"/>
          <w:lang w:val="en-US" w:eastAsia="zh-CN" w:bidi="ar-SA"/>
        </w:rPr>
        <w:t>项目验收是了解项目进展、把控项目完成数量、项目完成质量及项目完成时效的主要方式，加强项目验收，可以有效避免再次出现购建体育设施未粘贴</w:t>
      </w:r>
      <w:r>
        <w:rPr>
          <w:rFonts w:hint="eastAsia" w:ascii="仿宋_GB2312" w:eastAsia="仿宋_GB2312" w:cs="宋体" w:hAnsiTheme="minorHAnsi"/>
          <w:b w:val="0"/>
          <w:bCs w:val="0"/>
          <w:kern w:val="2"/>
          <w:sz w:val="32"/>
          <w:szCs w:val="32"/>
          <w:lang w:val="en-US" w:eastAsia="zh-CN" w:bidi="ar-SA"/>
        </w:rPr>
        <w:t>“彩票公益金资助——中国体育彩票”标签、未安装、少安装、不符合合同约定条款以及对外收费等情况；同时定期公示，使资金信息透明化；定期进行回访，了解居民实际需求并获取居民对前期开展工作的反馈，以便及时改进。</w:t>
      </w:r>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firstLine="640" w:firstLineChars="200"/>
        <w:jc w:val="left"/>
        <w:textAlignment w:val="auto"/>
        <w:outlineLvl w:val="1"/>
        <w:rPr>
          <w:rFonts w:hint="eastAsia" w:ascii="楷体" w:hAnsi="楷体" w:eastAsia="楷体" w:cs="楷体"/>
          <w:b/>
          <w:bCs/>
          <w:kern w:val="2"/>
          <w:sz w:val="32"/>
          <w:szCs w:val="32"/>
          <w:lang w:val="en-US" w:eastAsia="zh-CN"/>
        </w:rPr>
      </w:pPr>
      <w:bookmarkStart w:id="89" w:name="_Toc642"/>
      <w:r>
        <w:rPr>
          <w:rFonts w:hint="eastAsia" w:ascii="楷体" w:hAnsi="楷体" w:eastAsia="楷体" w:cs="楷体"/>
          <w:b/>
          <w:bCs/>
          <w:kern w:val="2"/>
          <w:sz w:val="32"/>
          <w:szCs w:val="32"/>
          <w:lang w:val="en-US" w:eastAsia="zh-CN"/>
        </w:rPr>
        <w:t>（三）增加宣传力度，提高群众知晓度</w:t>
      </w:r>
      <w:bookmarkEnd w:id="89"/>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firstLine="640" w:firstLineChars="200"/>
        <w:jc w:val="left"/>
        <w:textAlignment w:val="auto"/>
        <w:outlineLvl w:val="1"/>
        <w:rPr>
          <w:rFonts w:hint="default" w:ascii="黑体" w:hAnsi="黑体" w:eastAsia="黑体" w:cs="黑体"/>
          <w:kern w:val="2"/>
          <w:sz w:val="32"/>
          <w:szCs w:val="32"/>
          <w:highlight w:val="none"/>
          <w:lang w:val="en-US" w:eastAsia="zh-CN"/>
        </w:rPr>
      </w:pPr>
      <w:bookmarkStart w:id="90" w:name="_Toc15880"/>
      <w:bookmarkStart w:id="91" w:name="_Toc10186"/>
      <w:bookmarkStart w:id="92" w:name="_Toc6798"/>
      <w:bookmarkStart w:id="93" w:name="_Toc8881"/>
      <w:bookmarkStart w:id="94" w:name="_Toc13453"/>
      <w:bookmarkStart w:id="95" w:name="_Toc9483"/>
      <w:bookmarkStart w:id="96" w:name="_Toc10139"/>
      <w:r>
        <w:rPr>
          <w:rFonts w:hint="eastAsia" w:ascii="仿宋_GB2312" w:eastAsia="仿宋_GB2312" w:cs="宋体" w:hAnsiTheme="minorHAnsi"/>
          <w:kern w:val="2"/>
          <w:sz w:val="32"/>
          <w:szCs w:val="32"/>
          <w:lang w:val="en-US" w:eastAsia="zh-CN" w:bidi="ar-SA"/>
        </w:rPr>
        <w:t>提高媒体宣传报道力度，增加宣传途径，提高居民知晓度；加</w:t>
      </w:r>
      <w:r>
        <w:rPr>
          <w:rFonts w:hint="eastAsia" w:ascii="仿宋_GB2312" w:eastAsia="仿宋_GB2312" w:cs="宋体" w:hAnsiTheme="minorHAnsi"/>
          <w:kern w:val="2"/>
          <w:sz w:val="32"/>
          <w:szCs w:val="32"/>
          <w:highlight w:val="none"/>
          <w:lang w:val="en-US" w:eastAsia="zh-CN" w:bidi="ar-SA"/>
        </w:rPr>
        <w:t>强管理力度，便捷居民使用及参与程序，增长基层居民积极性，扩大资金使用效益，避免再次出现公共体育设施未对外开放等情况。</w:t>
      </w:r>
      <w:bookmarkEnd w:id="90"/>
      <w:bookmarkEnd w:id="91"/>
      <w:bookmarkEnd w:id="92"/>
      <w:bookmarkEnd w:id="93"/>
      <w:bookmarkEnd w:id="94"/>
      <w:bookmarkEnd w:id="95"/>
      <w:bookmarkEnd w:id="96"/>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firstLine="640" w:firstLineChars="200"/>
        <w:jc w:val="left"/>
        <w:textAlignment w:val="auto"/>
        <w:outlineLvl w:val="1"/>
        <w:rPr>
          <w:rFonts w:hint="default" w:ascii="楷体" w:hAnsi="楷体" w:eastAsia="楷体" w:cs="楷体"/>
          <w:b/>
          <w:bCs/>
          <w:kern w:val="2"/>
          <w:sz w:val="32"/>
          <w:szCs w:val="32"/>
          <w:lang w:val="en-US" w:eastAsia="zh-CN"/>
        </w:rPr>
      </w:pPr>
      <w:bookmarkStart w:id="97" w:name="_Toc6794"/>
      <w:r>
        <w:rPr>
          <w:rFonts w:hint="eastAsia" w:ascii="楷体" w:hAnsi="楷体" w:eastAsia="楷体" w:cs="楷体"/>
          <w:b/>
          <w:bCs/>
          <w:kern w:val="2"/>
          <w:sz w:val="32"/>
          <w:szCs w:val="32"/>
          <w:lang w:val="en-US" w:eastAsia="zh-CN"/>
        </w:rPr>
        <w:t>（四）结合时代发展，实现体育活动及设施智慧化</w:t>
      </w:r>
      <w:bookmarkEnd w:id="97"/>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left"/>
        <w:textAlignment w:val="auto"/>
        <w:rPr>
          <w:rFonts w:hint="eastAsia" w:ascii="仿宋_GB2312" w:eastAsia="仿宋_GB2312" w:hAnsiTheme="minorHAnsi"/>
          <w:kern w:val="2"/>
          <w:sz w:val="32"/>
          <w:szCs w:val="32"/>
          <w:lang w:val="en-US" w:eastAsia="zh-CN"/>
        </w:rPr>
      </w:pPr>
      <w:r>
        <w:rPr>
          <w:rFonts w:hint="eastAsia" w:ascii="仿宋_GB2312" w:eastAsia="仿宋_GB2312" w:hAnsiTheme="minorHAnsi"/>
          <w:kern w:val="2"/>
          <w:sz w:val="32"/>
          <w:szCs w:val="32"/>
          <w:lang w:val="en-US" w:eastAsia="zh-CN"/>
        </w:rPr>
        <w:t>结合当前社会科技化特点，构建龙华区“智慧体育”平台，搭载多个数据库，实现辖区居民线上查询、线上报名、线上预约、扫码参与等全流程云体验，扩大居民影响力。</w:t>
      </w:r>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left"/>
        <w:textAlignment w:val="auto"/>
        <w:rPr>
          <w:rFonts w:hint="default" w:ascii="仿宋_GB2312" w:eastAsia="仿宋_GB2312" w:hAnsiTheme="minorHAnsi"/>
          <w:kern w:val="2"/>
          <w:sz w:val="32"/>
          <w:szCs w:val="32"/>
          <w:lang w:val="en-US" w:eastAsia="zh-CN"/>
        </w:rPr>
      </w:pPr>
      <w:r>
        <w:rPr>
          <w:rFonts w:hint="eastAsia" w:ascii="仿宋_GB2312" w:eastAsia="仿宋_GB2312" w:hAnsiTheme="minorHAnsi"/>
          <w:kern w:val="2"/>
          <w:sz w:val="32"/>
          <w:szCs w:val="32"/>
          <w:lang w:val="en-US" w:eastAsia="zh-CN"/>
        </w:rPr>
        <w:t>打造全区“体育设施投放地图”，将全区所有体育设施纳入该系统，综合展示全区所有体育设施的地理位置、具体设施名称、开放时间、投放时间等一系列信息，并与上述线上预约页面相链接，方面辖区居民了解体育设施分布情况，更好的进行选择及预约。</w:t>
      </w:r>
    </w:p>
    <w:p>
      <w:pPr>
        <w:keepNext w:val="0"/>
        <w:keepLines w:val="0"/>
        <w:pageBreakBefore w:val="0"/>
        <w:widowControl w:val="0"/>
        <w:numPr>
          <w:ilvl w:val="0"/>
          <w:numId w:val="0"/>
        </w:numPr>
        <w:kinsoku/>
        <w:wordWrap/>
        <w:overflowPunct/>
        <w:topLinePunct w:val="0"/>
        <w:autoSpaceDE/>
        <w:autoSpaceDN/>
        <w:bidi w:val="0"/>
        <w:adjustRightInd w:val="0"/>
        <w:snapToGrid/>
        <w:spacing w:after="0" w:line="560" w:lineRule="exact"/>
        <w:ind w:left="0" w:leftChars="0" w:firstLine="640" w:firstLineChars="200"/>
        <w:jc w:val="left"/>
        <w:textAlignment w:val="auto"/>
        <w:rPr>
          <w:rFonts w:hint="default"/>
          <w:lang w:val="en-US" w:eastAsia="zh-CN"/>
        </w:rPr>
      </w:pPr>
      <w:r>
        <w:rPr>
          <w:rFonts w:hint="eastAsia" w:ascii="仿宋_GB2312" w:eastAsia="仿宋_GB2312" w:hAnsiTheme="minorHAnsi"/>
          <w:kern w:val="2"/>
          <w:sz w:val="32"/>
          <w:szCs w:val="32"/>
          <w:lang w:val="en-US" w:eastAsia="zh-CN"/>
        </w:rPr>
        <w:t>依托“智慧体育”平台推出居民健身云记录，实时记录居民对体育设施及体育活动的参与时间及频次，形成个人专属运动单，更有针对性的进行宣传引导，加快实现全民健身的目标。</w:t>
      </w:r>
    </w:p>
    <w:sectPr>
      <w:footerReference r:id="rId6" w:type="default"/>
      <w:pgSz w:w="11907" w:h="16840"/>
      <w:pgMar w:top="2098" w:right="1474" w:bottom="1984" w:left="1587" w:header="850" w:footer="992" w:gutter="0"/>
      <w:pgNumType w:fmt="numberInDash" w:start="1"/>
      <w:cols w:space="0" w:num="1"/>
      <w:rtlGutter w:val="0"/>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hint="eastAsia" w:asciiTheme="minorEastAsia" w:hAnsiTheme="minorEastAsia" w:eastAsiaTheme="minorEastAsia" w:cstheme="minorEastAsia"/>
        <w:sz w:val="28"/>
        <w:szCs w:val="28"/>
      </w:rPr>
    </w:pPr>
    <w:r>
      <w:rPr>
        <w:sz w:val="2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v:textbox>
        </v:shape>
      </w:pict>
    </w: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footnote>
  <w:footnote w:type="continuationSeparator" w:id="3">
    <w:p>
      <w:r>
        <w:continuationSeparator/>
      </w:r>
    </w:p>
  </w:footnote>
  <w:footnote w:id="0">
    <w:p>
      <w:pPr>
        <w:pStyle w:val="14"/>
        <w:snapToGrid w:val="0"/>
        <w:rPr>
          <w:rFonts w:hint="eastAsia" w:ascii="宋体" w:hAnsi="宋体" w:eastAsia="宋体" w:cs="宋体"/>
          <w:sz w:val="21"/>
          <w:szCs w:val="21"/>
          <w:lang w:val="en-US" w:eastAsia="zh-CN"/>
        </w:rPr>
      </w:pPr>
      <w:r>
        <w:rPr>
          <w:rStyle w:val="24"/>
          <w:rFonts w:hint="eastAsia" w:ascii="宋体" w:hAnsi="宋体" w:eastAsia="宋体" w:cs="宋体"/>
          <w:sz w:val="21"/>
          <w:szCs w:val="21"/>
        </w:rPr>
        <w:footnoteRef/>
      </w:r>
      <w:r>
        <w:rPr>
          <w:rFonts w:hint="eastAsia" w:ascii="宋体" w:hAnsi="宋体" w:eastAsia="宋体" w:cs="宋体"/>
          <w:sz w:val="21"/>
          <w:szCs w:val="21"/>
        </w:rPr>
        <w:t xml:space="preserve"> </w:t>
      </w:r>
      <w:r>
        <w:rPr>
          <w:rFonts w:hint="eastAsia" w:ascii="宋体" w:hAnsi="宋体" w:eastAsia="宋体" w:cs="宋体"/>
          <w:sz w:val="21"/>
          <w:szCs w:val="21"/>
          <w:lang w:eastAsia="zh-CN"/>
        </w:rPr>
        <w:t>健身路径包含告示牌一台、安全拼装地板</w:t>
      </w:r>
      <w:r>
        <w:rPr>
          <w:rFonts w:hint="eastAsia" w:ascii="宋体" w:hAnsi="宋体" w:eastAsia="宋体" w:cs="宋体"/>
          <w:sz w:val="21"/>
          <w:szCs w:val="21"/>
          <w:lang w:val="en-US" w:eastAsia="zh-CN"/>
        </w:rPr>
        <w:t>120块以及11件运动器材（太空健步机、健身车、腰背按摩器、健骑机、上肢牵引器、伸展器、二位蹬力器、肋木架、四位压腿按摩器、钟摆扭腰器、太极揉推器）</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9F0985"/>
    <w:multiLevelType w:val="singleLevel"/>
    <w:tmpl w:val="989F0985"/>
    <w:lvl w:ilvl="0" w:tentative="0">
      <w:start w:val="2"/>
      <w:numFmt w:val="chineseCounting"/>
      <w:suff w:val="nothing"/>
      <w:lvlText w:val="（%1）"/>
      <w:lvlJc w:val="left"/>
      <w:rPr>
        <w:rFonts w:hint="eastAsia"/>
      </w:rPr>
    </w:lvl>
  </w:abstractNum>
  <w:abstractNum w:abstractNumId="1">
    <w:nsid w:val="EAF9AB9A"/>
    <w:multiLevelType w:val="singleLevel"/>
    <w:tmpl w:val="EAF9AB9A"/>
    <w:lvl w:ilvl="0" w:tentative="0">
      <w:start w:val="1"/>
      <w:numFmt w:val="chineseCounting"/>
      <w:suff w:val="nothing"/>
      <w:lvlText w:val="%1、"/>
      <w:lvlJc w:val="left"/>
      <w:rPr>
        <w:rFonts w:hint="eastAsia"/>
        <w:b w:val="0"/>
        <w:bCs w:val="0"/>
      </w:rPr>
    </w:lvl>
  </w:abstractNum>
  <w:abstractNum w:abstractNumId="2">
    <w:nsid w:val="1D28B3A1"/>
    <w:multiLevelType w:val="singleLevel"/>
    <w:tmpl w:val="1D28B3A1"/>
    <w:lvl w:ilvl="0" w:tentative="0">
      <w:start w:val="1"/>
      <w:numFmt w:val="chineseCounting"/>
      <w:suff w:val="nothing"/>
      <w:lvlText w:val="（%1）"/>
      <w:lvlJc w:val="left"/>
      <w:rPr>
        <w:rFonts w:hint="eastAsia"/>
      </w:rPr>
    </w:lvl>
  </w:abstractNum>
  <w:abstractNum w:abstractNumId="3">
    <w:nsid w:val="3B9D1A11"/>
    <w:multiLevelType w:val="singleLevel"/>
    <w:tmpl w:val="3B9D1A11"/>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720"/>
  <w:drawingGridHorizontalSpacing w:val="110"/>
  <w:drawingGridVerticalSpacing w:val="156"/>
  <w:displayHorizontalDrawingGridEvery w:val="1"/>
  <w:displayVerticalDrawingGridEvery w:val="1"/>
  <w:noPunctuationKerning w:val="1"/>
  <w:characterSpacingControl w:val="doNotCompress"/>
  <w:hdrShapeDefaults>
    <o:shapelayout v:ext="edit">
      <o:idmap v:ext="edit" data="3,4"/>
    </o:shapelayout>
  </w:hdrShapeDefaults>
  <w:footnotePr>
    <w:footnote w:id="2"/>
    <w:footnote w:id="3"/>
  </w:footnotePr>
  <w:endnotePr>
    <w:endnote w:id="0"/>
    <w:endnote w:id="1"/>
  </w:endnotePr>
  <w:compat>
    <w:doNotExpandShiftReturn/>
    <w:doNotWrapTextWithPunct/>
    <w:doNotUseEastAsianBreakRules/>
    <w:useFELayout/>
    <w:doNotUseIndentAsNumberingTabStop/>
    <w:useAltKinsokuLineBreakRules/>
    <w:compatSetting w:name="compatibilityMode" w:uri="http://schemas.microsoft.com/office/word" w:val="12"/>
  </w:compat>
  <w:rsids>
    <w:rsidRoot w:val="00D31D50"/>
    <w:rsid w:val="000010A1"/>
    <w:rsid w:val="00001A1C"/>
    <w:rsid w:val="00001DB3"/>
    <w:rsid w:val="00002879"/>
    <w:rsid w:val="00002F98"/>
    <w:rsid w:val="00006058"/>
    <w:rsid w:val="000100FD"/>
    <w:rsid w:val="0001102F"/>
    <w:rsid w:val="0001140D"/>
    <w:rsid w:val="00011501"/>
    <w:rsid w:val="000118B4"/>
    <w:rsid w:val="0001246B"/>
    <w:rsid w:val="000149D5"/>
    <w:rsid w:val="0001568B"/>
    <w:rsid w:val="0001578E"/>
    <w:rsid w:val="00016721"/>
    <w:rsid w:val="00020591"/>
    <w:rsid w:val="00022398"/>
    <w:rsid w:val="000247AF"/>
    <w:rsid w:val="00024FD3"/>
    <w:rsid w:val="00025039"/>
    <w:rsid w:val="0002607F"/>
    <w:rsid w:val="000262A9"/>
    <w:rsid w:val="00032C4E"/>
    <w:rsid w:val="00033717"/>
    <w:rsid w:val="000402FB"/>
    <w:rsid w:val="00041780"/>
    <w:rsid w:val="00042396"/>
    <w:rsid w:val="00042D83"/>
    <w:rsid w:val="00043413"/>
    <w:rsid w:val="00043E49"/>
    <w:rsid w:val="00045499"/>
    <w:rsid w:val="00045978"/>
    <w:rsid w:val="00046136"/>
    <w:rsid w:val="00047E2B"/>
    <w:rsid w:val="00047F1F"/>
    <w:rsid w:val="00050D5A"/>
    <w:rsid w:val="0005314C"/>
    <w:rsid w:val="00053AA0"/>
    <w:rsid w:val="00055F59"/>
    <w:rsid w:val="00060F05"/>
    <w:rsid w:val="0006236C"/>
    <w:rsid w:val="00062729"/>
    <w:rsid w:val="00070EEA"/>
    <w:rsid w:val="00070F4D"/>
    <w:rsid w:val="0007154D"/>
    <w:rsid w:val="000718D4"/>
    <w:rsid w:val="0007246D"/>
    <w:rsid w:val="000725ED"/>
    <w:rsid w:val="0007364C"/>
    <w:rsid w:val="00073EFB"/>
    <w:rsid w:val="00075A24"/>
    <w:rsid w:val="00075C72"/>
    <w:rsid w:val="00075E00"/>
    <w:rsid w:val="000769F3"/>
    <w:rsid w:val="00080CF8"/>
    <w:rsid w:val="0008366D"/>
    <w:rsid w:val="00084BE7"/>
    <w:rsid w:val="000856C1"/>
    <w:rsid w:val="00085895"/>
    <w:rsid w:val="000865DE"/>
    <w:rsid w:val="00087496"/>
    <w:rsid w:val="00087B48"/>
    <w:rsid w:val="000902F7"/>
    <w:rsid w:val="00090876"/>
    <w:rsid w:val="00095523"/>
    <w:rsid w:val="00095B74"/>
    <w:rsid w:val="00095F24"/>
    <w:rsid w:val="00095F37"/>
    <w:rsid w:val="00096179"/>
    <w:rsid w:val="00096377"/>
    <w:rsid w:val="000A1BD3"/>
    <w:rsid w:val="000A377B"/>
    <w:rsid w:val="000A628E"/>
    <w:rsid w:val="000A6646"/>
    <w:rsid w:val="000A72C2"/>
    <w:rsid w:val="000B020F"/>
    <w:rsid w:val="000B0615"/>
    <w:rsid w:val="000B1A1E"/>
    <w:rsid w:val="000B2AE6"/>
    <w:rsid w:val="000B349B"/>
    <w:rsid w:val="000B4491"/>
    <w:rsid w:val="000B4B90"/>
    <w:rsid w:val="000B5011"/>
    <w:rsid w:val="000B575D"/>
    <w:rsid w:val="000B5C87"/>
    <w:rsid w:val="000B5DA8"/>
    <w:rsid w:val="000C06BC"/>
    <w:rsid w:val="000C23DC"/>
    <w:rsid w:val="000C276A"/>
    <w:rsid w:val="000C3B14"/>
    <w:rsid w:val="000C56D6"/>
    <w:rsid w:val="000C752F"/>
    <w:rsid w:val="000D275F"/>
    <w:rsid w:val="000D281E"/>
    <w:rsid w:val="000D3154"/>
    <w:rsid w:val="000D3633"/>
    <w:rsid w:val="000D40FE"/>
    <w:rsid w:val="000D56B3"/>
    <w:rsid w:val="000D736D"/>
    <w:rsid w:val="000E2CA6"/>
    <w:rsid w:val="000E33E8"/>
    <w:rsid w:val="000E4631"/>
    <w:rsid w:val="000E5297"/>
    <w:rsid w:val="000E69EE"/>
    <w:rsid w:val="000E7001"/>
    <w:rsid w:val="000F0D25"/>
    <w:rsid w:val="000F16BD"/>
    <w:rsid w:val="000F19C9"/>
    <w:rsid w:val="000F1C71"/>
    <w:rsid w:val="000F22B9"/>
    <w:rsid w:val="000F438D"/>
    <w:rsid w:val="000F46A4"/>
    <w:rsid w:val="000F4BF4"/>
    <w:rsid w:val="000F5C5A"/>
    <w:rsid w:val="000F5CDE"/>
    <w:rsid w:val="000F64A5"/>
    <w:rsid w:val="000F6AC4"/>
    <w:rsid w:val="0010111D"/>
    <w:rsid w:val="00101ED0"/>
    <w:rsid w:val="0010278F"/>
    <w:rsid w:val="001054CB"/>
    <w:rsid w:val="0010579C"/>
    <w:rsid w:val="00105AA1"/>
    <w:rsid w:val="00105F84"/>
    <w:rsid w:val="00106592"/>
    <w:rsid w:val="00110A6F"/>
    <w:rsid w:val="00111FCC"/>
    <w:rsid w:val="00113B3B"/>
    <w:rsid w:val="00113C5D"/>
    <w:rsid w:val="00113FE8"/>
    <w:rsid w:val="00114B29"/>
    <w:rsid w:val="00115264"/>
    <w:rsid w:val="00116DD4"/>
    <w:rsid w:val="00122384"/>
    <w:rsid w:val="0012372E"/>
    <w:rsid w:val="001240E3"/>
    <w:rsid w:val="0012470E"/>
    <w:rsid w:val="00124A44"/>
    <w:rsid w:val="001265E4"/>
    <w:rsid w:val="00126A90"/>
    <w:rsid w:val="00127DBC"/>
    <w:rsid w:val="00130857"/>
    <w:rsid w:val="00131C5E"/>
    <w:rsid w:val="00132182"/>
    <w:rsid w:val="00133F2E"/>
    <w:rsid w:val="00134C65"/>
    <w:rsid w:val="00135A0B"/>
    <w:rsid w:val="0013699C"/>
    <w:rsid w:val="00141EFF"/>
    <w:rsid w:val="00142A84"/>
    <w:rsid w:val="00144506"/>
    <w:rsid w:val="00144583"/>
    <w:rsid w:val="00144A61"/>
    <w:rsid w:val="00145184"/>
    <w:rsid w:val="00146215"/>
    <w:rsid w:val="0014647E"/>
    <w:rsid w:val="00146664"/>
    <w:rsid w:val="00147BB7"/>
    <w:rsid w:val="0015189B"/>
    <w:rsid w:val="00151C8C"/>
    <w:rsid w:val="00152390"/>
    <w:rsid w:val="00153A0F"/>
    <w:rsid w:val="00153D57"/>
    <w:rsid w:val="00154F0C"/>
    <w:rsid w:val="001560F2"/>
    <w:rsid w:val="00156A9D"/>
    <w:rsid w:val="001571C8"/>
    <w:rsid w:val="001618D7"/>
    <w:rsid w:val="00162B43"/>
    <w:rsid w:val="00162EAB"/>
    <w:rsid w:val="00164573"/>
    <w:rsid w:val="00164A17"/>
    <w:rsid w:val="00165727"/>
    <w:rsid w:val="00166FE5"/>
    <w:rsid w:val="0016727E"/>
    <w:rsid w:val="00171057"/>
    <w:rsid w:val="00172DCE"/>
    <w:rsid w:val="00173767"/>
    <w:rsid w:val="001769A2"/>
    <w:rsid w:val="00177714"/>
    <w:rsid w:val="00180E2C"/>
    <w:rsid w:val="00183917"/>
    <w:rsid w:val="00184766"/>
    <w:rsid w:val="00185095"/>
    <w:rsid w:val="0018545B"/>
    <w:rsid w:val="00186C68"/>
    <w:rsid w:val="001873F8"/>
    <w:rsid w:val="00190D57"/>
    <w:rsid w:val="00190DE8"/>
    <w:rsid w:val="0019228B"/>
    <w:rsid w:val="001924F0"/>
    <w:rsid w:val="00192BA3"/>
    <w:rsid w:val="0019478F"/>
    <w:rsid w:val="001964F8"/>
    <w:rsid w:val="001A13C1"/>
    <w:rsid w:val="001A22D0"/>
    <w:rsid w:val="001A5511"/>
    <w:rsid w:val="001A66BD"/>
    <w:rsid w:val="001A69EA"/>
    <w:rsid w:val="001A7ACF"/>
    <w:rsid w:val="001B0E1A"/>
    <w:rsid w:val="001B28AC"/>
    <w:rsid w:val="001B2C91"/>
    <w:rsid w:val="001B417A"/>
    <w:rsid w:val="001B46B6"/>
    <w:rsid w:val="001B5500"/>
    <w:rsid w:val="001B5E24"/>
    <w:rsid w:val="001B621B"/>
    <w:rsid w:val="001B6A94"/>
    <w:rsid w:val="001B7BF9"/>
    <w:rsid w:val="001C266F"/>
    <w:rsid w:val="001C27CF"/>
    <w:rsid w:val="001C3ABD"/>
    <w:rsid w:val="001C3B2B"/>
    <w:rsid w:val="001C7681"/>
    <w:rsid w:val="001C7FA9"/>
    <w:rsid w:val="001D1878"/>
    <w:rsid w:val="001D1B10"/>
    <w:rsid w:val="001D2B78"/>
    <w:rsid w:val="001D2FD6"/>
    <w:rsid w:val="001D31B5"/>
    <w:rsid w:val="001D34A0"/>
    <w:rsid w:val="001D3EAA"/>
    <w:rsid w:val="001D4887"/>
    <w:rsid w:val="001D50BA"/>
    <w:rsid w:val="001D5924"/>
    <w:rsid w:val="001E0241"/>
    <w:rsid w:val="001E0CE3"/>
    <w:rsid w:val="001E3902"/>
    <w:rsid w:val="001E40C9"/>
    <w:rsid w:val="001E4746"/>
    <w:rsid w:val="001E4978"/>
    <w:rsid w:val="001E5366"/>
    <w:rsid w:val="001E540F"/>
    <w:rsid w:val="001E546B"/>
    <w:rsid w:val="001E5B66"/>
    <w:rsid w:val="001F11B0"/>
    <w:rsid w:val="001F2710"/>
    <w:rsid w:val="001F2F0B"/>
    <w:rsid w:val="001F3177"/>
    <w:rsid w:val="001F5BAD"/>
    <w:rsid w:val="001F61EE"/>
    <w:rsid w:val="001F6E0A"/>
    <w:rsid w:val="001F7771"/>
    <w:rsid w:val="002000AC"/>
    <w:rsid w:val="00200755"/>
    <w:rsid w:val="00201429"/>
    <w:rsid w:val="00201622"/>
    <w:rsid w:val="00202602"/>
    <w:rsid w:val="002039F8"/>
    <w:rsid w:val="00205949"/>
    <w:rsid w:val="0020750B"/>
    <w:rsid w:val="00210690"/>
    <w:rsid w:val="002117CE"/>
    <w:rsid w:val="00212E0E"/>
    <w:rsid w:val="0021768E"/>
    <w:rsid w:val="00220B64"/>
    <w:rsid w:val="00223849"/>
    <w:rsid w:val="002256D6"/>
    <w:rsid w:val="00225784"/>
    <w:rsid w:val="0022594B"/>
    <w:rsid w:val="00226D5D"/>
    <w:rsid w:val="00227FE4"/>
    <w:rsid w:val="00230A13"/>
    <w:rsid w:val="00230B6D"/>
    <w:rsid w:val="002319D5"/>
    <w:rsid w:val="00232B39"/>
    <w:rsid w:val="002345FE"/>
    <w:rsid w:val="00234D47"/>
    <w:rsid w:val="002361A7"/>
    <w:rsid w:val="002401DC"/>
    <w:rsid w:val="00243427"/>
    <w:rsid w:val="0024526F"/>
    <w:rsid w:val="00246957"/>
    <w:rsid w:val="00250085"/>
    <w:rsid w:val="002525A9"/>
    <w:rsid w:val="00253A37"/>
    <w:rsid w:val="0025433B"/>
    <w:rsid w:val="00261870"/>
    <w:rsid w:val="0026223F"/>
    <w:rsid w:val="0026306B"/>
    <w:rsid w:val="002644E7"/>
    <w:rsid w:val="00266452"/>
    <w:rsid w:val="00270780"/>
    <w:rsid w:val="00274BB5"/>
    <w:rsid w:val="00274D72"/>
    <w:rsid w:val="00276101"/>
    <w:rsid w:val="00276462"/>
    <w:rsid w:val="00277ADE"/>
    <w:rsid w:val="00277B69"/>
    <w:rsid w:val="002801C2"/>
    <w:rsid w:val="00282273"/>
    <w:rsid w:val="002838CB"/>
    <w:rsid w:val="00283E0B"/>
    <w:rsid w:val="00284EF1"/>
    <w:rsid w:val="0028636C"/>
    <w:rsid w:val="00287124"/>
    <w:rsid w:val="002903C6"/>
    <w:rsid w:val="00291033"/>
    <w:rsid w:val="00292175"/>
    <w:rsid w:val="00293414"/>
    <w:rsid w:val="00293AD0"/>
    <w:rsid w:val="00294DC7"/>
    <w:rsid w:val="00294E3C"/>
    <w:rsid w:val="00295BEA"/>
    <w:rsid w:val="0029694C"/>
    <w:rsid w:val="002A01E4"/>
    <w:rsid w:val="002A0CAE"/>
    <w:rsid w:val="002A3669"/>
    <w:rsid w:val="002A5913"/>
    <w:rsid w:val="002A7CC3"/>
    <w:rsid w:val="002B0BAD"/>
    <w:rsid w:val="002B1384"/>
    <w:rsid w:val="002B1FF7"/>
    <w:rsid w:val="002B3F9E"/>
    <w:rsid w:val="002B6251"/>
    <w:rsid w:val="002B7F05"/>
    <w:rsid w:val="002C0652"/>
    <w:rsid w:val="002C18F8"/>
    <w:rsid w:val="002C1C26"/>
    <w:rsid w:val="002C22E4"/>
    <w:rsid w:val="002C241B"/>
    <w:rsid w:val="002C31E6"/>
    <w:rsid w:val="002C37BC"/>
    <w:rsid w:val="002C392A"/>
    <w:rsid w:val="002C3C52"/>
    <w:rsid w:val="002C4652"/>
    <w:rsid w:val="002C48D3"/>
    <w:rsid w:val="002C61F6"/>
    <w:rsid w:val="002C694A"/>
    <w:rsid w:val="002C6BC4"/>
    <w:rsid w:val="002C7185"/>
    <w:rsid w:val="002C7C70"/>
    <w:rsid w:val="002D047B"/>
    <w:rsid w:val="002D17AD"/>
    <w:rsid w:val="002D3EF2"/>
    <w:rsid w:val="002D4EB0"/>
    <w:rsid w:val="002D4ECE"/>
    <w:rsid w:val="002D51B3"/>
    <w:rsid w:val="002D52F2"/>
    <w:rsid w:val="002D55D0"/>
    <w:rsid w:val="002D60B7"/>
    <w:rsid w:val="002D66B1"/>
    <w:rsid w:val="002D704E"/>
    <w:rsid w:val="002E0B62"/>
    <w:rsid w:val="002E0BB6"/>
    <w:rsid w:val="002E1663"/>
    <w:rsid w:val="002E2217"/>
    <w:rsid w:val="002E3BDA"/>
    <w:rsid w:val="002E3F3F"/>
    <w:rsid w:val="002E3FCC"/>
    <w:rsid w:val="002E40D8"/>
    <w:rsid w:val="002E4C72"/>
    <w:rsid w:val="002E5841"/>
    <w:rsid w:val="002F01E4"/>
    <w:rsid w:val="002F0525"/>
    <w:rsid w:val="002F10F0"/>
    <w:rsid w:val="002F215B"/>
    <w:rsid w:val="002F28F5"/>
    <w:rsid w:val="002F5576"/>
    <w:rsid w:val="002F5893"/>
    <w:rsid w:val="002F7107"/>
    <w:rsid w:val="00302AC7"/>
    <w:rsid w:val="00304D74"/>
    <w:rsid w:val="00305239"/>
    <w:rsid w:val="0031040A"/>
    <w:rsid w:val="00311979"/>
    <w:rsid w:val="00311A67"/>
    <w:rsid w:val="00313CCF"/>
    <w:rsid w:val="00315617"/>
    <w:rsid w:val="00315DF4"/>
    <w:rsid w:val="003161B4"/>
    <w:rsid w:val="00316FE6"/>
    <w:rsid w:val="003179C0"/>
    <w:rsid w:val="00320878"/>
    <w:rsid w:val="00321B02"/>
    <w:rsid w:val="0032220A"/>
    <w:rsid w:val="003230E7"/>
    <w:rsid w:val="00323B43"/>
    <w:rsid w:val="003259B5"/>
    <w:rsid w:val="003260CD"/>
    <w:rsid w:val="00326221"/>
    <w:rsid w:val="00326FFE"/>
    <w:rsid w:val="00330F06"/>
    <w:rsid w:val="00331386"/>
    <w:rsid w:val="003322D2"/>
    <w:rsid w:val="00332A28"/>
    <w:rsid w:val="00332D14"/>
    <w:rsid w:val="00332F67"/>
    <w:rsid w:val="003339A8"/>
    <w:rsid w:val="00337F97"/>
    <w:rsid w:val="00346AAA"/>
    <w:rsid w:val="0035007F"/>
    <w:rsid w:val="003500E6"/>
    <w:rsid w:val="00352394"/>
    <w:rsid w:val="00354BDD"/>
    <w:rsid w:val="003578E4"/>
    <w:rsid w:val="0036240D"/>
    <w:rsid w:val="00362B4F"/>
    <w:rsid w:val="00366887"/>
    <w:rsid w:val="0036699E"/>
    <w:rsid w:val="0037062B"/>
    <w:rsid w:val="00372EF9"/>
    <w:rsid w:val="0037462A"/>
    <w:rsid w:val="003746BB"/>
    <w:rsid w:val="0037599E"/>
    <w:rsid w:val="00381799"/>
    <w:rsid w:val="00381949"/>
    <w:rsid w:val="00381ABA"/>
    <w:rsid w:val="00381EBA"/>
    <w:rsid w:val="003835AE"/>
    <w:rsid w:val="00384507"/>
    <w:rsid w:val="003850C0"/>
    <w:rsid w:val="00386697"/>
    <w:rsid w:val="00387EC8"/>
    <w:rsid w:val="00390EA5"/>
    <w:rsid w:val="00391A6B"/>
    <w:rsid w:val="003931C2"/>
    <w:rsid w:val="00393C71"/>
    <w:rsid w:val="003950C1"/>
    <w:rsid w:val="00395292"/>
    <w:rsid w:val="003A04D9"/>
    <w:rsid w:val="003A2454"/>
    <w:rsid w:val="003A2626"/>
    <w:rsid w:val="003A2CF8"/>
    <w:rsid w:val="003A38AB"/>
    <w:rsid w:val="003A4428"/>
    <w:rsid w:val="003A4DBB"/>
    <w:rsid w:val="003A5AA3"/>
    <w:rsid w:val="003A60AC"/>
    <w:rsid w:val="003B067A"/>
    <w:rsid w:val="003B142D"/>
    <w:rsid w:val="003B1E47"/>
    <w:rsid w:val="003B4086"/>
    <w:rsid w:val="003B6763"/>
    <w:rsid w:val="003B6F8A"/>
    <w:rsid w:val="003C00FD"/>
    <w:rsid w:val="003C0D3A"/>
    <w:rsid w:val="003C1659"/>
    <w:rsid w:val="003C1AB1"/>
    <w:rsid w:val="003C233F"/>
    <w:rsid w:val="003C2D2F"/>
    <w:rsid w:val="003C2D89"/>
    <w:rsid w:val="003C339F"/>
    <w:rsid w:val="003C4731"/>
    <w:rsid w:val="003C6155"/>
    <w:rsid w:val="003C7A2D"/>
    <w:rsid w:val="003D046F"/>
    <w:rsid w:val="003D0E88"/>
    <w:rsid w:val="003D37D8"/>
    <w:rsid w:val="003D3C39"/>
    <w:rsid w:val="003D3E8D"/>
    <w:rsid w:val="003D7022"/>
    <w:rsid w:val="003E01F3"/>
    <w:rsid w:val="003E125A"/>
    <w:rsid w:val="003E3939"/>
    <w:rsid w:val="003E41D4"/>
    <w:rsid w:val="003E4306"/>
    <w:rsid w:val="003E4D45"/>
    <w:rsid w:val="003E54DF"/>
    <w:rsid w:val="003E6F16"/>
    <w:rsid w:val="003E7DEC"/>
    <w:rsid w:val="003F3B4C"/>
    <w:rsid w:val="003F6515"/>
    <w:rsid w:val="003F69D9"/>
    <w:rsid w:val="004020D9"/>
    <w:rsid w:val="0040228B"/>
    <w:rsid w:val="00402E5E"/>
    <w:rsid w:val="00403263"/>
    <w:rsid w:val="004054D5"/>
    <w:rsid w:val="00405E51"/>
    <w:rsid w:val="00406188"/>
    <w:rsid w:val="00411343"/>
    <w:rsid w:val="0041154D"/>
    <w:rsid w:val="00413A5E"/>
    <w:rsid w:val="00413E0C"/>
    <w:rsid w:val="00414A1A"/>
    <w:rsid w:val="00415575"/>
    <w:rsid w:val="004202BD"/>
    <w:rsid w:val="00420F0E"/>
    <w:rsid w:val="004223D6"/>
    <w:rsid w:val="004226C4"/>
    <w:rsid w:val="00423B7F"/>
    <w:rsid w:val="00426133"/>
    <w:rsid w:val="00430825"/>
    <w:rsid w:val="00431FDC"/>
    <w:rsid w:val="004325FA"/>
    <w:rsid w:val="004358AB"/>
    <w:rsid w:val="0043644A"/>
    <w:rsid w:val="004415F3"/>
    <w:rsid w:val="0044162C"/>
    <w:rsid w:val="00441CCF"/>
    <w:rsid w:val="0044251B"/>
    <w:rsid w:val="00442655"/>
    <w:rsid w:val="004430AA"/>
    <w:rsid w:val="0044398D"/>
    <w:rsid w:val="00444174"/>
    <w:rsid w:val="00446140"/>
    <w:rsid w:val="0044638B"/>
    <w:rsid w:val="00447C0E"/>
    <w:rsid w:val="0045025F"/>
    <w:rsid w:val="00450384"/>
    <w:rsid w:val="00451B59"/>
    <w:rsid w:val="00451C31"/>
    <w:rsid w:val="004526DD"/>
    <w:rsid w:val="00452880"/>
    <w:rsid w:val="0045447C"/>
    <w:rsid w:val="004548E8"/>
    <w:rsid w:val="00454970"/>
    <w:rsid w:val="00460C4F"/>
    <w:rsid w:val="0046299B"/>
    <w:rsid w:val="004631C4"/>
    <w:rsid w:val="0046394C"/>
    <w:rsid w:val="004644F8"/>
    <w:rsid w:val="00464632"/>
    <w:rsid w:val="0046510F"/>
    <w:rsid w:val="0046599A"/>
    <w:rsid w:val="00466BA9"/>
    <w:rsid w:val="0046754F"/>
    <w:rsid w:val="004702D6"/>
    <w:rsid w:val="0047134A"/>
    <w:rsid w:val="004718A9"/>
    <w:rsid w:val="00471EFC"/>
    <w:rsid w:val="00475C2C"/>
    <w:rsid w:val="004808D5"/>
    <w:rsid w:val="00481002"/>
    <w:rsid w:val="004819C0"/>
    <w:rsid w:val="004825EC"/>
    <w:rsid w:val="004831CB"/>
    <w:rsid w:val="00483643"/>
    <w:rsid w:val="00485155"/>
    <w:rsid w:val="00485890"/>
    <w:rsid w:val="00486874"/>
    <w:rsid w:val="00487147"/>
    <w:rsid w:val="00487288"/>
    <w:rsid w:val="004911F5"/>
    <w:rsid w:val="00491CEC"/>
    <w:rsid w:val="004937FE"/>
    <w:rsid w:val="00493C6E"/>
    <w:rsid w:val="004940C5"/>
    <w:rsid w:val="004965E3"/>
    <w:rsid w:val="004A1247"/>
    <w:rsid w:val="004A21E6"/>
    <w:rsid w:val="004A2960"/>
    <w:rsid w:val="004A39DA"/>
    <w:rsid w:val="004A40ED"/>
    <w:rsid w:val="004A5258"/>
    <w:rsid w:val="004A6DAC"/>
    <w:rsid w:val="004B2E8A"/>
    <w:rsid w:val="004B32E6"/>
    <w:rsid w:val="004B3747"/>
    <w:rsid w:val="004B38B3"/>
    <w:rsid w:val="004B4351"/>
    <w:rsid w:val="004B5E30"/>
    <w:rsid w:val="004B62B4"/>
    <w:rsid w:val="004C00A8"/>
    <w:rsid w:val="004C0341"/>
    <w:rsid w:val="004C10D1"/>
    <w:rsid w:val="004C1208"/>
    <w:rsid w:val="004C21B6"/>
    <w:rsid w:val="004C28BA"/>
    <w:rsid w:val="004C2D43"/>
    <w:rsid w:val="004C4C94"/>
    <w:rsid w:val="004C5EC4"/>
    <w:rsid w:val="004C656C"/>
    <w:rsid w:val="004C761B"/>
    <w:rsid w:val="004C7941"/>
    <w:rsid w:val="004D43A3"/>
    <w:rsid w:val="004D4C3D"/>
    <w:rsid w:val="004D70DD"/>
    <w:rsid w:val="004D754E"/>
    <w:rsid w:val="004E4466"/>
    <w:rsid w:val="004E6B8A"/>
    <w:rsid w:val="004F0113"/>
    <w:rsid w:val="004F4334"/>
    <w:rsid w:val="004F54EA"/>
    <w:rsid w:val="004F5DC0"/>
    <w:rsid w:val="004F60ED"/>
    <w:rsid w:val="004F6DEA"/>
    <w:rsid w:val="005018A4"/>
    <w:rsid w:val="00501F92"/>
    <w:rsid w:val="00502009"/>
    <w:rsid w:val="00503764"/>
    <w:rsid w:val="00503A14"/>
    <w:rsid w:val="00504C86"/>
    <w:rsid w:val="0050569A"/>
    <w:rsid w:val="0051164C"/>
    <w:rsid w:val="00511867"/>
    <w:rsid w:val="00511A43"/>
    <w:rsid w:val="005138E3"/>
    <w:rsid w:val="00514683"/>
    <w:rsid w:val="00514CB4"/>
    <w:rsid w:val="005177C4"/>
    <w:rsid w:val="00517B63"/>
    <w:rsid w:val="0052116D"/>
    <w:rsid w:val="00521183"/>
    <w:rsid w:val="005262D5"/>
    <w:rsid w:val="00526980"/>
    <w:rsid w:val="00530AC6"/>
    <w:rsid w:val="00530FF3"/>
    <w:rsid w:val="0053111A"/>
    <w:rsid w:val="00532707"/>
    <w:rsid w:val="005332BD"/>
    <w:rsid w:val="0053333F"/>
    <w:rsid w:val="005333B4"/>
    <w:rsid w:val="00533651"/>
    <w:rsid w:val="00534A39"/>
    <w:rsid w:val="0054093B"/>
    <w:rsid w:val="005422FB"/>
    <w:rsid w:val="005430D8"/>
    <w:rsid w:val="00544081"/>
    <w:rsid w:val="0054494F"/>
    <w:rsid w:val="0054736B"/>
    <w:rsid w:val="005478D1"/>
    <w:rsid w:val="0055024B"/>
    <w:rsid w:val="00550774"/>
    <w:rsid w:val="00550885"/>
    <w:rsid w:val="0055124B"/>
    <w:rsid w:val="005518CD"/>
    <w:rsid w:val="00554195"/>
    <w:rsid w:val="00554C07"/>
    <w:rsid w:val="00554D75"/>
    <w:rsid w:val="00563768"/>
    <w:rsid w:val="00564C0A"/>
    <w:rsid w:val="00565395"/>
    <w:rsid w:val="0056544D"/>
    <w:rsid w:val="00566F71"/>
    <w:rsid w:val="00567083"/>
    <w:rsid w:val="00573180"/>
    <w:rsid w:val="00573A27"/>
    <w:rsid w:val="005766EC"/>
    <w:rsid w:val="005768B9"/>
    <w:rsid w:val="00577388"/>
    <w:rsid w:val="00577538"/>
    <w:rsid w:val="00584F15"/>
    <w:rsid w:val="005854D4"/>
    <w:rsid w:val="0058647D"/>
    <w:rsid w:val="00586849"/>
    <w:rsid w:val="0058688A"/>
    <w:rsid w:val="005868A8"/>
    <w:rsid w:val="00586FF0"/>
    <w:rsid w:val="00587D9A"/>
    <w:rsid w:val="00591561"/>
    <w:rsid w:val="00594351"/>
    <w:rsid w:val="00596082"/>
    <w:rsid w:val="00596223"/>
    <w:rsid w:val="00596DCC"/>
    <w:rsid w:val="00597253"/>
    <w:rsid w:val="00597971"/>
    <w:rsid w:val="005A16C0"/>
    <w:rsid w:val="005A378D"/>
    <w:rsid w:val="005A3CED"/>
    <w:rsid w:val="005A3D23"/>
    <w:rsid w:val="005A4BC2"/>
    <w:rsid w:val="005A4C48"/>
    <w:rsid w:val="005B105F"/>
    <w:rsid w:val="005B135C"/>
    <w:rsid w:val="005B27FF"/>
    <w:rsid w:val="005B327B"/>
    <w:rsid w:val="005B39EE"/>
    <w:rsid w:val="005B5A97"/>
    <w:rsid w:val="005B67F8"/>
    <w:rsid w:val="005B7398"/>
    <w:rsid w:val="005C0AEA"/>
    <w:rsid w:val="005C0B36"/>
    <w:rsid w:val="005C133C"/>
    <w:rsid w:val="005C1632"/>
    <w:rsid w:val="005C1B55"/>
    <w:rsid w:val="005C235D"/>
    <w:rsid w:val="005C283F"/>
    <w:rsid w:val="005C359C"/>
    <w:rsid w:val="005C4061"/>
    <w:rsid w:val="005C6FF1"/>
    <w:rsid w:val="005C7474"/>
    <w:rsid w:val="005C7E54"/>
    <w:rsid w:val="005D0793"/>
    <w:rsid w:val="005D1F33"/>
    <w:rsid w:val="005D4C82"/>
    <w:rsid w:val="005D5272"/>
    <w:rsid w:val="005D6DD8"/>
    <w:rsid w:val="005E02AD"/>
    <w:rsid w:val="005E2135"/>
    <w:rsid w:val="005E2E10"/>
    <w:rsid w:val="005E456E"/>
    <w:rsid w:val="005E5806"/>
    <w:rsid w:val="005E5AA7"/>
    <w:rsid w:val="005E763C"/>
    <w:rsid w:val="005F103D"/>
    <w:rsid w:val="005F2F61"/>
    <w:rsid w:val="005F55E6"/>
    <w:rsid w:val="005F5C52"/>
    <w:rsid w:val="005F636F"/>
    <w:rsid w:val="005F689D"/>
    <w:rsid w:val="005F6BB1"/>
    <w:rsid w:val="00600949"/>
    <w:rsid w:val="00602AE0"/>
    <w:rsid w:val="00606407"/>
    <w:rsid w:val="00606630"/>
    <w:rsid w:val="00607006"/>
    <w:rsid w:val="00607C30"/>
    <w:rsid w:val="00607C4B"/>
    <w:rsid w:val="00611264"/>
    <w:rsid w:val="00613247"/>
    <w:rsid w:val="00615B41"/>
    <w:rsid w:val="00616642"/>
    <w:rsid w:val="006169FF"/>
    <w:rsid w:val="00616A20"/>
    <w:rsid w:val="00617111"/>
    <w:rsid w:val="00620076"/>
    <w:rsid w:val="00620211"/>
    <w:rsid w:val="00621773"/>
    <w:rsid w:val="0062180E"/>
    <w:rsid w:val="00621856"/>
    <w:rsid w:val="00623C05"/>
    <w:rsid w:val="00625631"/>
    <w:rsid w:val="00627ACE"/>
    <w:rsid w:val="006359FF"/>
    <w:rsid w:val="00636975"/>
    <w:rsid w:val="00637944"/>
    <w:rsid w:val="006408A5"/>
    <w:rsid w:val="00640EB6"/>
    <w:rsid w:val="00641320"/>
    <w:rsid w:val="006418B4"/>
    <w:rsid w:val="00641EB9"/>
    <w:rsid w:val="00642EFA"/>
    <w:rsid w:val="00643671"/>
    <w:rsid w:val="006437B0"/>
    <w:rsid w:val="00644CA8"/>
    <w:rsid w:val="006463ED"/>
    <w:rsid w:val="00646625"/>
    <w:rsid w:val="006504D3"/>
    <w:rsid w:val="00650B51"/>
    <w:rsid w:val="00650DF3"/>
    <w:rsid w:val="0065129F"/>
    <w:rsid w:val="00652814"/>
    <w:rsid w:val="006551DC"/>
    <w:rsid w:val="006558B0"/>
    <w:rsid w:val="00655E16"/>
    <w:rsid w:val="00661AAC"/>
    <w:rsid w:val="00661FF9"/>
    <w:rsid w:val="006624C8"/>
    <w:rsid w:val="00662E30"/>
    <w:rsid w:val="00664D37"/>
    <w:rsid w:val="00664DF1"/>
    <w:rsid w:val="00670F4B"/>
    <w:rsid w:val="006762BE"/>
    <w:rsid w:val="00676DB3"/>
    <w:rsid w:val="00676EDA"/>
    <w:rsid w:val="00677391"/>
    <w:rsid w:val="0068018A"/>
    <w:rsid w:val="00682673"/>
    <w:rsid w:val="00683600"/>
    <w:rsid w:val="00683662"/>
    <w:rsid w:val="0068397B"/>
    <w:rsid w:val="00683C16"/>
    <w:rsid w:val="00685300"/>
    <w:rsid w:val="00685435"/>
    <w:rsid w:val="006859D7"/>
    <w:rsid w:val="00686EB5"/>
    <w:rsid w:val="00686F2A"/>
    <w:rsid w:val="00687605"/>
    <w:rsid w:val="00690F1E"/>
    <w:rsid w:val="006A0B05"/>
    <w:rsid w:val="006A1BB7"/>
    <w:rsid w:val="006A25AF"/>
    <w:rsid w:val="006A34D2"/>
    <w:rsid w:val="006A6915"/>
    <w:rsid w:val="006B02AA"/>
    <w:rsid w:val="006B05AE"/>
    <w:rsid w:val="006B0DAF"/>
    <w:rsid w:val="006B1290"/>
    <w:rsid w:val="006B1B3E"/>
    <w:rsid w:val="006B2768"/>
    <w:rsid w:val="006B2E00"/>
    <w:rsid w:val="006B3E6A"/>
    <w:rsid w:val="006B3F21"/>
    <w:rsid w:val="006B591B"/>
    <w:rsid w:val="006C08E3"/>
    <w:rsid w:val="006C29E4"/>
    <w:rsid w:val="006C5C46"/>
    <w:rsid w:val="006C6AEF"/>
    <w:rsid w:val="006C7757"/>
    <w:rsid w:val="006C7AFA"/>
    <w:rsid w:val="006C7B6E"/>
    <w:rsid w:val="006D039C"/>
    <w:rsid w:val="006D0B14"/>
    <w:rsid w:val="006D1408"/>
    <w:rsid w:val="006D236B"/>
    <w:rsid w:val="006D785F"/>
    <w:rsid w:val="006E036B"/>
    <w:rsid w:val="006E4323"/>
    <w:rsid w:val="006E59D2"/>
    <w:rsid w:val="006E694F"/>
    <w:rsid w:val="006E760B"/>
    <w:rsid w:val="006E7CDE"/>
    <w:rsid w:val="006F32B2"/>
    <w:rsid w:val="006F3AC4"/>
    <w:rsid w:val="006F4F42"/>
    <w:rsid w:val="006F54D7"/>
    <w:rsid w:val="006F6CE8"/>
    <w:rsid w:val="0070038D"/>
    <w:rsid w:val="00700F57"/>
    <w:rsid w:val="00701C51"/>
    <w:rsid w:val="0070202B"/>
    <w:rsid w:val="007042F4"/>
    <w:rsid w:val="007054F9"/>
    <w:rsid w:val="00705544"/>
    <w:rsid w:val="00705DA0"/>
    <w:rsid w:val="0070653A"/>
    <w:rsid w:val="00707E53"/>
    <w:rsid w:val="00707F4E"/>
    <w:rsid w:val="00710BE2"/>
    <w:rsid w:val="00711378"/>
    <w:rsid w:val="00711955"/>
    <w:rsid w:val="00712598"/>
    <w:rsid w:val="00714A48"/>
    <w:rsid w:val="007153BC"/>
    <w:rsid w:val="00717059"/>
    <w:rsid w:val="0072156E"/>
    <w:rsid w:val="00721A88"/>
    <w:rsid w:val="0072226F"/>
    <w:rsid w:val="00724981"/>
    <w:rsid w:val="00726827"/>
    <w:rsid w:val="00727117"/>
    <w:rsid w:val="00727467"/>
    <w:rsid w:val="0073005F"/>
    <w:rsid w:val="0073187D"/>
    <w:rsid w:val="00734CE6"/>
    <w:rsid w:val="00735105"/>
    <w:rsid w:val="00735A81"/>
    <w:rsid w:val="007420E1"/>
    <w:rsid w:val="00742793"/>
    <w:rsid w:val="0074304A"/>
    <w:rsid w:val="007451BC"/>
    <w:rsid w:val="00746370"/>
    <w:rsid w:val="00746AA5"/>
    <w:rsid w:val="00747CEB"/>
    <w:rsid w:val="00752716"/>
    <w:rsid w:val="00752736"/>
    <w:rsid w:val="007532E3"/>
    <w:rsid w:val="007536C1"/>
    <w:rsid w:val="007540B1"/>
    <w:rsid w:val="00754893"/>
    <w:rsid w:val="00756AC1"/>
    <w:rsid w:val="0075717B"/>
    <w:rsid w:val="007605F3"/>
    <w:rsid w:val="00762909"/>
    <w:rsid w:val="007638A3"/>
    <w:rsid w:val="00763C36"/>
    <w:rsid w:val="00763C83"/>
    <w:rsid w:val="007644FC"/>
    <w:rsid w:val="00765398"/>
    <w:rsid w:val="00765C3D"/>
    <w:rsid w:val="007663A2"/>
    <w:rsid w:val="00766969"/>
    <w:rsid w:val="007676B2"/>
    <w:rsid w:val="00770016"/>
    <w:rsid w:val="00771872"/>
    <w:rsid w:val="0077361B"/>
    <w:rsid w:val="00773AE7"/>
    <w:rsid w:val="007755B9"/>
    <w:rsid w:val="00776BAB"/>
    <w:rsid w:val="00781A07"/>
    <w:rsid w:val="00782CB4"/>
    <w:rsid w:val="00783BDB"/>
    <w:rsid w:val="00784736"/>
    <w:rsid w:val="00784B41"/>
    <w:rsid w:val="00784EED"/>
    <w:rsid w:val="007859CA"/>
    <w:rsid w:val="0078699B"/>
    <w:rsid w:val="007909C8"/>
    <w:rsid w:val="0079192A"/>
    <w:rsid w:val="00792BFB"/>
    <w:rsid w:val="00793761"/>
    <w:rsid w:val="007956C9"/>
    <w:rsid w:val="00796251"/>
    <w:rsid w:val="00797C5E"/>
    <w:rsid w:val="007A0E98"/>
    <w:rsid w:val="007A1C83"/>
    <w:rsid w:val="007A2652"/>
    <w:rsid w:val="007A52A0"/>
    <w:rsid w:val="007A628F"/>
    <w:rsid w:val="007B2E35"/>
    <w:rsid w:val="007B50B1"/>
    <w:rsid w:val="007B5F11"/>
    <w:rsid w:val="007B655D"/>
    <w:rsid w:val="007B73F9"/>
    <w:rsid w:val="007B7AB5"/>
    <w:rsid w:val="007B7DF9"/>
    <w:rsid w:val="007C0A8C"/>
    <w:rsid w:val="007C2C97"/>
    <w:rsid w:val="007C3106"/>
    <w:rsid w:val="007C3322"/>
    <w:rsid w:val="007C3738"/>
    <w:rsid w:val="007C407F"/>
    <w:rsid w:val="007C4236"/>
    <w:rsid w:val="007C46AA"/>
    <w:rsid w:val="007C4E82"/>
    <w:rsid w:val="007C5A5E"/>
    <w:rsid w:val="007C5ABC"/>
    <w:rsid w:val="007C5C00"/>
    <w:rsid w:val="007C5E72"/>
    <w:rsid w:val="007C6D49"/>
    <w:rsid w:val="007C7138"/>
    <w:rsid w:val="007C71CB"/>
    <w:rsid w:val="007C71F6"/>
    <w:rsid w:val="007C7323"/>
    <w:rsid w:val="007C78E2"/>
    <w:rsid w:val="007D0A47"/>
    <w:rsid w:val="007D0B50"/>
    <w:rsid w:val="007D11BB"/>
    <w:rsid w:val="007D22DD"/>
    <w:rsid w:val="007D248B"/>
    <w:rsid w:val="007D36B4"/>
    <w:rsid w:val="007D43B2"/>
    <w:rsid w:val="007D4745"/>
    <w:rsid w:val="007D4B54"/>
    <w:rsid w:val="007D4E0F"/>
    <w:rsid w:val="007E2289"/>
    <w:rsid w:val="007E25D2"/>
    <w:rsid w:val="007E3F8F"/>
    <w:rsid w:val="007E751D"/>
    <w:rsid w:val="007E75DE"/>
    <w:rsid w:val="007E77ED"/>
    <w:rsid w:val="007E7E6A"/>
    <w:rsid w:val="007F06FF"/>
    <w:rsid w:val="007F291D"/>
    <w:rsid w:val="007F3DF9"/>
    <w:rsid w:val="007F3F8A"/>
    <w:rsid w:val="007F4BBD"/>
    <w:rsid w:val="007F5320"/>
    <w:rsid w:val="007F5673"/>
    <w:rsid w:val="007F5851"/>
    <w:rsid w:val="007F6A59"/>
    <w:rsid w:val="007F7044"/>
    <w:rsid w:val="0080105C"/>
    <w:rsid w:val="0080217D"/>
    <w:rsid w:val="008029E2"/>
    <w:rsid w:val="00803AB0"/>
    <w:rsid w:val="008041CE"/>
    <w:rsid w:val="008048AF"/>
    <w:rsid w:val="008058BB"/>
    <w:rsid w:val="00807C02"/>
    <w:rsid w:val="00810D9E"/>
    <w:rsid w:val="00811875"/>
    <w:rsid w:val="0081381E"/>
    <w:rsid w:val="00814F88"/>
    <w:rsid w:val="00815044"/>
    <w:rsid w:val="00816250"/>
    <w:rsid w:val="008165E3"/>
    <w:rsid w:val="0082225D"/>
    <w:rsid w:val="00823E34"/>
    <w:rsid w:val="008255F9"/>
    <w:rsid w:val="00826431"/>
    <w:rsid w:val="00827870"/>
    <w:rsid w:val="008305A9"/>
    <w:rsid w:val="0083143B"/>
    <w:rsid w:val="00831D6D"/>
    <w:rsid w:val="008342C7"/>
    <w:rsid w:val="00835ACF"/>
    <w:rsid w:val="0083629A"/>
    <w:rsid w:val="00840DA9"/>
    <w:rsid w:val="00841A1D"/>
    <w:rsid w:val="00841B47"/>
    <w:rsid w:val="00841C38"/>
    <w:rsid w:val="00843AF4"/>
    <w:rsid w:val="00843F51"/>
    <w:rsid w:val="00845183"/>
    <w:rsid w:val="00845523"/>
    <w:rsid w:val="00845B5A"/>
    <w:rsid w:val="00845F53"/>
    <w:rsid w:val="008476CF"/>
    <w:rsid w:val="00847D11"/>
    <w:rsid w:val="00847E2E"/>
    <w:rsid w:val="00852759"/>
    <w:rsid w:val="00852A49"/>
    <w:rsid w:val="0085558E"/>
    <w:rsid w:val="00856078"/>
    <w:rsid w:val="00856BCB"/>
    <w:rsid w:val="00857771"/>
    <w:rsid w:val="00857D5A"/>
    <w:rsid w:val="00861B91"/>
    <w:rsid w:val="00863786"/>
    <w:rsid w:val="00864C1D"/>
    <w:rsid w:val="0086610B"/>
    <w:rsid w:val="00866243"/>
    <w:rsid w:val="00867BCA"/>
    <w:rsid w:val="00867E92"/>
    <w:rsid w:val="00870EB0"/>
    <w:rsid w:val="0087180D"/>
    <w:rsid w:val="00872C09"/>
    <w:rsid w:val="00872F77"/>
    <w:rsid w:val="00873BDC"/>
    <w:rsid w:val="008744DC"/>
    <w:rsid w:val="00874846"/>
    <w:rsid w:val="00876394"/>
    <w:rsid w:val="00876426"/>
    <w:rsid w:val="00877004"/>
    <w:rsid w:val="0087787B"/>
    <w:rsid w:val="008800F4"/>
    <w:rsid w:val="00881B41"/>
    <w:rsid w:val="008825D8"/>
    <w:rsid w:val="008828C6"/>
    <w:rsid w:val="00883AC4"/>
    <w:rsid w:val="00884A9C"/>
    <w:rsid w:val="008852EC"/>
    <w:rsid w:val="00886ACE"/>
    <w:rsid w:val="0089119F"/>
    <w:rsid w:val="008914E3"/>
    <w:rsid w:val="00892FC7"/>
    <w:rsid w:val="00893059"/>
    <w:rsid w:val="00893425"/>
    <w:rsid w:val="00893CA0"/>
    <w:rsid w:val="00894800"/>
    <w:rsid w:val="00894C68"/>
    <w:rsid w:val="00896A28"/>
    <w:rsid w:val="008A0A03"/>
    <w:rsid w:val="008A1CBF"/>
    <w:rsid w:val="008A3940"/>
    <w:rsid w:val="008A4A31"/>
    <w:rsid w:val="008A5531"/>
    <w:rsid w:val="008A55E8"/>
    <w:rsid w:val="008A602B"/>
    <w:rsid w:val="008B06BD"/>
    <w:rsid w:val="008B1095"/>
    <w:rsid w:val="008B1F5C"/>
    <w:rsid w:val="008B4EEA"/>
    <w:rsid w:val="008B50BA"/>
    <w:rsid w:val="008B5818"/>
    <w:rsid w:val="008B75FF"/>
    <w:rsid w:val="008B7726"/>
    <w:rsid w:val="008C1D0F"/>
    <w:rsid w:val="008C3FF7"/>
    <w:rsid w:val="008C404F"/>
    <w:rsid w:val="008C41F0"/>
    <w:rsid w:val="008C4F4B"/>
    <w:rsid w:val="008C5579"/>
    <w:rsid w:val="008C6BDC"/>
    <w:rsid w:val="008D0224"/>
    <w:rsid w:val="008D2E84"/>
    <w:rsid w:val="008D31A1"/>
    <w:rsid w:val="008D3BCA"/>
    <w:rsid w:val="008D72CB"/>
    <w:rsid w:val="008E17AB"/>
    <w:rsid w:val="008E21A5"/>
    <w:rsid w:val="008E4A0C"/>
    <w:rsid w:val="008E52A6"/>
    <w:rsid w:val="008E54F0"/>
    <w:rsid w:val="008E625A"/>
    <w:rsid w:val="008E629B"/>
    <w:rsid w:val="008E69CD"/>
    <w:rsid w:val="008E6C67"/>
    <w:rsid w:val="008E6C68"/>
    <w:rsid w:val="008E7C50"/>
    <w:rsid w:val="008F0A21"/>
    <w:rsid w:val="008F0A87"/>
    <w:rsid w:val="008F3080"/>
    <w:rsid w:val="008F3EC1"/>
    <w:rsid w:val="008F6839"/>
    <w:rsid w:val="008F6A47"/>
    <w:rsid w:val="008F7D50"/>
    <w:rsid w:val="00902DA2"/>
    <w:rsid w:val="00903793"/>
    <w:rsid w:val="00903CC3"/>
    <w:rsid w:val="00905451"/>
    <w:rsid w:val="009058C4"/>
    <w:rsid w:val="00905E32"/>
    <w:rsid w:val="0090768D"/>
    <w:rsid w:val="00907B58"/>
    <w:rsid w:val="00911FCD"/>
    <w:rsid w:val="00912E09"/>
    <w:rsid w:val="00913157"/>
    <w:rsid w:val="0091563E"/>
    <w:rsid w:val="00921689"/>
    <w:rsid w:val="0092429C"/>
    <w:rsid w:val="009268D5"/>
    <w:rsid w:val="00926957"/>
    <w:rsid w:val="00930511"/>
    <w:rsid w:val="0093059F"/>
    <w:rsid w:val="00930A71"/>
    <w:rsid w:val="00931115"/>
    <w:rsid w:val="00931800"/>
    <w:rsid w:val="00933945"/>
    <w:rsid w:val="00934E80"/>
    <w:rsid w:val="00936B38"/>
    <w:rsid w:val="0094085A"/>
    <w:rsid w:val="00942514"/>
    <w:rsid w:val="009438E5"/>
    <w:rsid w:val="00945311"/>
    <w:rsid w:val="00945C15"/>
    <w:rsid w:val="00946923"/>
    <w:rsid w:val="00947603"/>
    <w:rsid w:val="009501DB"/>
    <w:rsid w:val="00952477"/>
    <w:rsid w:val="00954350"/>
    <w:rsid w:val="00954B9A"/>
    <w:rsid w:val="00955883"/>
    <w:rsid w:val="00955B84"/>
    <w:rsid w:val="00960DAB"/>
    <w:rsid w:val="009611A0"/>
    <w:rsid w:val="00961B20"/>
    <w:rsid w:val="00961BB7"/>
    <w:rsid w:val="0096268A"/>
    <w:rsid w:val="00962B7C"/>
    <w:rsid w:val="00962D1D"/>
    <w:rsid w:val="00963500"/>
    <w:rsid w:val="00963926"/>
    <w:rsid w:val="00963FC8"/>
    <w:rsid w:val="009711B0"/>
    <w:rsid w:val="00971B45"/>
    <w:rsid w:val="00973504"/>
    <w:rsid w:val="0097499F"/>
    <w:rsid w:val="00974CC6"/>
    <w:rsid w:val="00975882"/>
    <w:rsid w:val="00981499"/>
    <w:rsid w:val="00981CA8"/>
    <w:rsid w:val="00981D48"/>
    <w:rsid w:val="00982D34"/>
    <w:rsid w:val="00983F4E"/>
    <w:rsid w:val="0098744A"/>
    <w:rsid w:val="00987A6A"/>
    <w:rsid w:val="00987B0B"/>
    <w:rsid w:val="0099034A"/>
    <w:rsid w:val="009911DD"/>
    <w:rsid w:val="0099268F"/>
    <w:rsid w:val="00992E11"/>
    <w:rsid w:val="00993B61"/>
    <w:rsid w:val="0099459C"/>
    <w:rsid w:val="00994C6E"/>
    <w:rsid w:val="00994FCE"/>
    <w:rsid w:val="00995730"/>
    <w:rsid w:val="00996E9C"/>
    <w:rsid w:val="009971FD"/>
    <w:rsid w:val="009A20FA"/>
    <w:rsid w:val="009A24E6"/>
    <w:rsid w:val="009A49F2"/>
    <w:rsid w:val="009A4D3C"/>
    <w:rsid w:val="009A6D2C"/>
    <w:rsid w:val="009A703B"/>
    <w:rsid w:val="009B05AE"/>
    <w:rsid w:val="009B06DD"/>
    <w:rsid w:val="009B1061"/>
    <w:rsid w:val="009B1DF1"/>
    <w:rsid w:val="009B5BDA"/>
    <w:rsid w:val="009B6ACA"/>
    <w:rsid w:val="009C099C"/>
    <w:rsid w:val="009C1D01"/>
    <w:rsid w:val="009C3893"/>
    <w:rsid w:val="009C4915"/>
    <w:rsid w:val="009C4D03"/>
    <w:rsid w:val="009C798F"/>
    <w:rsid w:val="009D0999"/>
    <w:rsid w:val="009D13BE"/>
    <w:rsid w:val="009D144E"/>
    <w:rsid w:val="009D26A6"/>
    <w:rsid w:val="009D313A"/>
    <w:rsid w:val="009D350C"/>
    <w:rsid w:val="009D3710"/>
    <w:rsid w:val="009D3925"/>
    <w:rsid w:val="009D7A6D"/>
    <w:rsid w:val="009E234D"/>
    <w:rsid w:val="009E34B6"/>
    <w:rsid w:val="009E518C"/>
    <w:rsid w:val="009E5D00"/>
    <w:rsid w:val="009E6BEE"/>
    <w:rsid w:val="009F1352"/>
    <w:rsid w:val="009F163C"/>
    <w:rsid w:val="009F3E16"/>
    <w:rsid w:val="009F6644"/>
    <w:rsid w:val="009F6BA3"/>
    <w:rsid w:val="00A004DB"/>
    <w:rsid w:val="00A01E1D"/>
    <w:rsid w:val="00A02EDC"/>
    <w:rsid w:val="00A030A6"/>
    <w:rsid w:val="00A0349E"/>
    <w:rsid w:val="00A03EB7"/>
    <w:rsid w:val="00A04F18"/>
    <w:rsid w:val="00A05EB9"/>
    <w:rsid w:val="00A06B6B"/>
    <w:rsid w:val="00A06BFD"/>
    <w:rsid w:val="00A1101B"/>
    <w:rsid w:val="00A1266B"/>
    <w:rsid w:val="00A17D54"/>
    <w:rsid w:val="00A21A0F"/>
    <w:rsid w:val="00A22B66"/>
    <w:rsid w:val="00A23094"/>
    <w:rsid w:val="00A24CF3"/>
    <w:rsid w:val="00A25795"/>
    <w:rsid w:val="00A26775"/>
    <w:rsid w:val="00A27AE8"/>
    <w:rsid w:val="00A27D2D"/>
    <w:rsid w:val="00A32163"/>
    <w:rsid w:val="00A33E4F"/>
    <w:rsid w:val="00A343AD"/>
    <w:rsid w:val="00A34881"/>
    <w:rsid w:val="00A35408"/>
    <w:rsid w:val="00A361C5"/>
    <w:rsid w:val="00A3639B"/>
    <w:rsid w:val="00A3726D"/>
    <w:rsid w:val="00A41547"/>
    <w:rsid w:val="00A42238"/>
    <w:rsid w:val="00A42A26"/>
    <w:rsid w:val="00A4602F"/>
    <w:rsid w:val="00A46ED2"/>
    <w:rsid w:val="00A4777D"/>
    <w:rsid w:val="00A47B7B"/>
    <w:rsid w:val="00A51505"/>
    <w:rsid w:val="00A52793"/>
    <w:rsid w:val="00A52F47"/>
    <w:rsid w:val="00A534F1"/>
    <w:rsid w:val="00A53B57"/>
    <w:rsid w:val="00A54212"/>
    <w:rsid w:val="00A54219"/>
    <w:rsid w:val="00A5453F"/>
    <w:rsid w:val="00A54CBB"/>
    <w:rsid w:val="00A5771B"/>
    <w:rsid w:val="00A57FEB"/>
    <w:rsid w:val="00A6078B"/>
    <w:rsid w:val="00A64501"/>
    <w:rsid w:val="00A64DA0"/>
    <w:rsid w:val="00A65BD0"/>
    <w:rsid w:val="00A6669D"/>
    <w:rsid w:val="00A66834"/>
    <w:rsid w:val="00A7021D"/>
    <w:rsid w:val="00A7135D"/>
    <w:rsid w:val="00A7139F"/>
    <w:rsid w:val="00A75488"/>
    <w:rsid w:val="00A75CBF"/>
    <w:rsid w:val="00A76427"/>
    <w:rsid w:val="00A772B5"/>
    <w:rsid w:val="00A772B9"/>
    <w:rsid w:val="00A806C8"/>
    <w:rsid w:val="00A80945"/>
    <w:rsid w:val="00A81848"/>
    <w:rsid w:val="00A825B7"/>
    <w:rsid w:val="00A83BF5"/>
    <w:rsid w:val="00A845A5"/>
    <w:rsid w:val="00A84968"/>
    <w:rsid w:val="00A84BD2"/>
    <w:rsid w:val="00A85D7A"/>
    <w:rsid w:val="00A8733E"/>
    <w:rsid w:val="00A876ED"/>
    <w:rsid w:val="00A9044A"/>
    <w:rsid w:val="00A908FD"/>
    <w:rsid w:val="00A91139"/>
    <w:rsid w:val="00A9685F"/>
    <w:rsid w:val="00AA18C3"/>
    <w:rsid w:val="00AA1956"/>
    <w:rsid w:val="00AA2060"/>
    <w:rsid w:val="00AA2E48"/>
    <w:rsid w:val="00AA3E88"/>
    <w:rsid w:val="00AA3F67"/>
    <w:rsid w:val="00AA4838"/>
    <w:rsid w:val="00AA60AC"/>
    <w:rsid w:val="00AA75E3"/>
    <w:rsid w:val="00AB22C9"/>
    <w:rsid w:val="00AB3040"/>
    <w:rsid w:val="00AB33B6"/>
    <w:rsid w:val="00AB34AB"/>
    <w:rsid w:val="00AB361C"/>
    <w:rsid w:val="00AB3687"/>
    <w:rsid w:val="00AB423F"/>
    <w:rsid w:val="00AB5347"/>
    <w:rsid w:val="00AB7CA3"/>
    <w:rsid w:val="00AC0D77"/>
    <w:rsid w:val="00AC0E9F"/>
    <w:rsid w:val="00AC18AC"/>
    <w:rsid w:val="00AC219B"/>
    <w:rsid w:val="00AC3484"/>
    <w:rsid w:val="00AC394D"/>
    <w:rsid w:val="00AC5CC3"/>
    <w:rsid w:val="00AD3A17"/>
    <w:rsid w:val="00AD5FC7"/>
    <w:rsid w:val="00AD761E"/>
    <w:rsid w:val="00AE0AA7"/>
    <w:rsid w:val="00AE0ED9"/>
    <w:rsid w:val="00AE1782"/>
    <w:rsid w:val="00AE1D69"/>
    <w:rsid w:val="00AE2286"/>
    <w:rsid w:val="00AE2528"/>
    <w:rsid w:val="00AE2D4A"/>
    <w:rsid w:val="00AE2FE3"/>
    <w:rsid w:val="00AE41B9"/>
    <w:rsid w:val="00AE4949"/>
    <w:rsid w:val="00AE4AEC"/>
    <w:rsid w:val="00AE687C"/>
    <w:rsid w:val="00AE782D"/>
    <w:rsid w:val="00AE7A5A"/>
    <w:rsid w:val="00AE7CE4"/>
    <w:rsid w:val="00AF10B4"/>
    <w:rsid w:val="00AF16AC"/>
    <w:rsid w:val="00AF18C7"/>
    <w:rsid w:val="00AF3107"/>
    <w:rsid w:val="00AF6BE9"/>
    <w:rsid w:val="00AF72B8"/>
    <w:rsid w:val="00B00027"/>
    <w:rsid w:val="00B01A2A"/>
    <w:rsid w:val="00B02890"/>
    <w:rsid w:val="00B035FE"/>
    <w:rsid w:val="00B04C9A"/>
    <w:rsid w:val="00B04E17"/>
    <w:rsid w:val="00B11060"/>
    <w:rsid w:val="00B110CA"/>
    <w:rsid w:val="00B120E3"/>
    <w:rsid w:val="00B12EEF"/>
    <w:rsid w:val="00B15515"/>
    <w:rsid w:val="00B15DB2"/>
    <w:rsid w:val="00B16C1F"/>
    <w:rsid w:val="00B176C7"/>
    <w:rsid w:val="00B17D71"/>
    <w:rsid w:val="00B20FEB"/>
    <w:rsid w:val="00B21CC2"/>
    <w:rsid w:val="00B22CE8"/>
    <w:rsid w:val="00B23542"/>
    <w:rsid w:val="00B25C90"/>
    <w:rsid w:val="00B264E3"/>
    <w:rsid w:val="00B26E63"/>
    <w:rsid w:val="00B302A6"/>
    <w:rsid w:val="00B32A9A"/>
    <w:rsid w:val="00B337FE"/>
    <w:rsid w:val="00B33912"/>
    <w:rsid w:val="00B3600A"/>
    <w:rsid w:val="00B365F6"/>
    <w:rsid w:val="00B36706"/>
    <w:rsid w:val="00B36C14"/>
    <w:rsid w:val="00B411C3"/>
    <w:rsid w:val="00B4206D"/>
    <w:rsid w:val="00B42C1B"/>
    <w:rsid w:val="00B43024"/>
    <w:rsid w:val="00B44857"/>
    <w:rsid w:val="00B46D06"/>
    <w:rsid w:val="00B474CE"/>
    <w:rsid w:val="00B4796F"/>
    <w:rsid w:val="00B5198D"/>
    <w:rsid w:val="00B519F9"/>
    <w:rsid w:val="00B5280B"/>
    <w:rsid w:val="00B53145"/>
    <w:rsid w:val="00B5370D"/>
    <w:rsid w:val="00B547F1"/>
    <w:rsid w:val="00B54B85"/>
    <w:rsid w:val="00B570C9"/>
    <w:rsid w:val="00B57412"/>
    <w:rsid w:val="00B60EF6"/>
    <w:rsid w:val="00B61470"/>
    <w:rsid w:val="00B639DF"/>
    <w:rsid w:val="00B64307"/>
    <w:rsid w:val="00B64933"/>
    <w:rsid w:val="00B707D7"/>
    <w:rsid w:val="00B72B0C"/>
    <w:rsid w:val="00B73080"/>
    <w:rsid w:val="00B73B86"/>
    <w:rsid w:val="00B73DA8"/>
    <w:rsid w:val="00B75086"/>
    <w:rsid w:val="00B750D0"/>
    <w:rsid w:val="00B77EFF"/>
    <w:rsid w:val="00B819EB"/>
    <w:rsid w:val="00B82591"/>
    <w:rsid w:val="00B8521A"/>
    <w:rsid w:val="00B85574"/>
    <w:rsid w:val="00B85620"/>
    <w:rsid w:val="00B85664"/>
    <w:rsid w:val="00B9031C"/>
    <w:rsid w:val="00B90677"/>
    <w:rsid w:val="00B93E8F"/>
    <w:rsid w:val="00B964D5"/>
    <w:rsid w:val="00B97063"/>
    <w:rsid w:val="00B97C51"/>
    <w:rsid w:val="00BB031C"/>
    <w:rsid w:val="00BB0E23"/>
    <w:rsid w:val="00BB2C4A"/>
    <w:rsid w:val="00BB3333"/>
    <w:rsid w:val="00BB625D"/>
    <w:rsid w:val="00BC0B3A"/>
    <w:rsid w:val="00BC1E53"/>
    <w:rsid w:val="00BC2C8D"/>
    <w:rsid w:val="00BC37CA"/>
    <w:rsid w:val="00BC4917"/>
    <w:rsid w:val="00BC556D"/>
    <w:rsid w:val="00BC60AB"/>
    <w:rsid w:val="00BC60BC"/>
    <w:rsid w:val="00BC74F3"/>
    <w:rsid w:val="00BD091E"/>
    <w:rsid w:val="00BD173D"/>
    <w:rsid w:val="00BD26CE"/>
    <w:rsid w:val="00BD309B"/>
    <w:rsid w:val="00BD4A3E"/>
    <w:rsid w:val="00BD5D69"/>
    <w:rsid w:val="00BD5FB2"/>
    <w:rsid w:val="00BD622B"/>
    <w:rsid w:val="00BD62AE"/>
    <w:rsid w:val="00BD6E05"/>
    <w:rsid w:val="00BE15B3"/>
    <w:rsid w:val="00BE23D6"/>
    <w:rsid w:val="00BE2408"/>
    <w:rsid w:val="00BE46BE"/>
    <w:rsid w:val="00BE4711"/>
    <w:rsid w:val="00BE4B19"/>
    <w:rsid w:val="00BE5F17"/>
    <w:rsid w:val="00BE7AB7"/>
    <w:rsid w:val="00BF065E"/>
    <w:rsid w:val="00BF2C87"/>
    <w:rsid w:val="00BF4915"/>
    <w:rsid w:val="00BF50DD"/>
    <w:rsid w:val="00BF567E"/>
    <w:rsid w:val="00C01603"/>
    <w:rsid w:val="00C02038"/>
    <w:rsid w:val="00C036C9"/>
    <w:rsid w:val="00C0484B"/>
    <w:rsid w:val="00C05F32"/>
    <w:rsid w:val="00C074EE"/>
    <w:rsid w:val="00C10806"/>
    <w:rsid w:val="00C10A1C"/>
    <w:rsid w:val="00C11236"/>
    <w:rsid w:val="00C116C5"/>
    <w:rsid w:val="00C12A9C"/>
    <w:rsid w:val="00C149A0"/>
    <w:rsid w:val="00C14BFE"/>
    <w:rsid w:val="00C15AD5"/>
    <w:rsid w:val="00C16944"/>
    <w:rsid w:val="00C16A7F"/>
    <w:rsid w:val="00C16CBC"/>
    <w:rsid w:val="00C17BBF"/>
    <w:rsid w:val="00C201A2"/>
    <w:rsid w:val="00C21C3C"/>
    <w:rsid w:val="00C2201A"/>
    <w:rsid w:val="00C230A4"/>
    <w:rsid w:val="00C25B09"/>
    <w:rsid w:val="00C31876"/>
    <w:rsid w:val="00C326CD"/>
    <w:rsid w:val="00C329E7"/>
    <w:rsid w:val="00C33BB5"/>
    <w:rsid w:val="00C344A3"/>
    <w:rsid w:val="00C34FFD"/>
    <w:rsid w:val="00C3515D"/>
    <w:rsid w:val="00C35B8F"/>
    <w:rsid w:val="00C3602D"/>
    <w:rsid w:val="00C36346"/>
    <w:rsid w:val="00C373B5"/>
    <w:rsid w:val="00C4024D"/>
    <w:rsid w:val="00C418F3"/>
    <w:rsid w:val="00C43B7B"/>
    <w:rsid w:val="00C4472A"/>
    <w:rsid w:val="00C45581"/>
    <w:rsid w:val="00C45DFF"/>
    <w:rsid w:val="00C461EC"/>
    <w:rsid w:val="00C473A9"/>
    <w:rsid w:val="00C5247E"/>
    <w:rsid w:val="00C544BC"/>
    <w:rsid w:val="00C54698"/>
    <w:rsid w:val="00C55CA7"/>
    <w:rsid w:val="00C55D25"/>
    <w:rsid w:val="00C5610E"/>
    <w:rsid w:val="00C566E1"/>
    <w:rsid w:val="00C56905"/>
    <w:rsid w:val="00C573FE"/>
    <w:rsid w:val="00C57967"/>
    <w:rsid w:val="00C60022"/>
    <w:rsid w:val="00C61B46"/>
    <w:rsid w:val="00C61DE3"/>
    <w:rsid w:val="00C634A4"/>
    <w:rsid w:val="00C653A2"/>
    <w:rsid w:val="00C6590E"/>
    <w:rsid w:val="00C66262"/>
    <w:rsid w:val="00C66AC2"/>
    <w:rsid w:val="00C66E93"/>
    <w:rsid w:val="00C67E7B"/>
    <w:rsid w:val="00C72B0C"/>
    <w:rsid w:val="00C752F7"/>
    <w:rsid w:val="00C776FE"/>
    <w:rsid w:val="00C81C08"/>
    <w:rsid w:val="00C82F4B"/>
    <w:rsid w:val="00C82FAC"/>
    <w:rsid w:val="00C8398A"/>
    <w:rsid w:val="00C84847"/>
    <w:rsid w:val="00C84AE2"/>
    <w:rsid w:val="00C861A6"/>
    <w:rsid w:val="00C86A04"/>
    <w:rsid w:val="00C90E46"/>
    <w:rsid w:val="00C925F9"/>
    <w:rsid w:val="00C92AF5"/>
    <w:rsid w:val="00C93225"/>
    <w:rsid w:val="00C95223"/>
    <w:rsid w:val="00C96264"/>
    <w:rsid w:val="00C9713F"/>
    <w:rsid w:val="00C9722E"/>
    <w:rsid w:val="00CA2139"/>
    <w:rsid w:val="00CA2388"/>
    <w:rsid w:val="00CA32A0"/>
    <w:rsid w:val="00CA3567"/>
    <w:rsid w:val="00CA5F9E"/>
    <w:rsid w:val="00CA66AA"/>
    <w:rsid w:val="00CA6AF0"/>
    <w:rsid w:val="00CA7863"/>
    <w:rsid w:val="00CB074A"/>
    <w:rsid w:val="00CB0A57"/>
    <w:rsid w:val="00CB2325"/>
    <w:rsid w:val="00CB2AB7"/>
    <w:rsid w:val="00CB36AE"/>
    <w:rsid w:val="00CB4BE6"/>
    <w:rsid w:val="00CB4FEE"/>
    <w:rsid w:val="00CB57EF"/>
    <w:rsid w:val="00CB72C5"/>
    <w:rsid w:val="00CC0076"/>
    <w:rsid w:val="00CC0C57"/>
    <w:rsid w:val="00CC1833"/>
    <w:rsid w:val="00CC1B99"/>
    <w:rsid w:val="00CC303D"/>
    <w:rsid w:val="00CC3AAA"/>
    <w:rsid w:val="00CC3D14"/>
    <w:rsid w:val="00CC5512"/>
    <w:rsid w:val="00CC6202"/>
    <w:rsid w:val="00CD05C2"/>
    <w:rsid w:val="00CD0820"/>
    <w:rsid w:val="00CD31AE"/>
    <w:rsid w:val="00CD3202"/>
    <w:rsid w:val="00CD449A"/>
    <w:rsid w:val="00CD4A95"/>
    <w:rsid w:val="00CD4EBF"/>
    <w:rsid w:val="00CD73BC"/>
    <w:rsid w:val="00CE14E7"/>
    <w:rsid w:val="00CE1844"/>
    <w:rsid w:val="00CE1DC6"/>
    <w:rsid w:val="00CE22FD"/>
    <w:rsid w:val="00CE3079"/>
    <w:rsid w:val="00CE3AA4"/>
    <w:rsid w:val="00CE3BC1"/>
    <w:rsid w:val="00CE4FD3"/>
    <w:rsid w:val="00CE569C"/>
    <w:rsid w:val="00CE6796"/>
    <w:rsid w:val="00CE7691"/>
    <w:rsid w:val="00CE76FB"/>
    <w:rsid w:val="00CE7874"/>
    <w:rsid w:val="00CE7E4A"/>
    <w:rsid w:val="00CF00C9"/>
    <w:rsid w:val="00CF1996"/>
    <w:rsid w:val="00CF37F4"/>
    <w:rsid w:val="00CF5A61"/>
    <w:rsid w:val="00CF61C2"/>
    <w:rsid w:val="00CF7001"/>
    <w:rsid w:val="00CF7B01"/>
    <w:rsid w:val="00CF7F90"/>
    <w:rsid w:val="00D00B99"/>
    <w:rsid w:val="00D00F64"/>
    <w:rsid w:val="00D01B10"/>
    <w:rsid w:val="00D03060"/>
    <w:rsid w:val="00D03DD4"/>
    <w:rsid w:val="00D05035"/>
    <w:rsid w:val="00D05377"/>
    <w:rsid w:val="00D06250"/>
    <w:rsid w:val="00D07BD5"/>
    <w:rsid w:val="00D07CF4"/>
    <w:rsid w:val="00D1182E"/>
    <w:rsid w:val="00D126A3"/>
    <w:rsid w:val="00D12E7A"/>
    <w:rsid w:val="00D13AF9"/>
    <w:rsid w:val="00D16743"/>
    <w:rsid w:val="00D16C3D"/>
    <w:rsid w:val="00D17336"/>
    <w:rsid w:val="00D1763A"/>
    <w:rsid w:val="00D30487"/>
    <w:rsid w:val="00D30D12"/>
    <w:rsid w:val="00D317E7"/>
    <w:rsid w:val="00D31959"/>
    <w:rsid w:val="00D31D50"/>
    <w:rsid w:val="00D3209D"/>
    <w:rsid w:val="00D32ADD"/>
    <w:rsid w:val="00D426F1"/>
    <w:rsid w:val="00D42CF2"/>
    <w:rsid w:val="00D42D45"/>
    <w:rsid w:val="00D43629"/>
    <w:rsid w:val="00D44A1C"/>
    <w:rsid w:val="00D44A65"/>
    <w:rsid w:val="00D463DF"/>
    <w:rsid w:val="00D504DC"/>
    <w:rsid w:val="00D51160"/>
    <w:rsid w:val="00D53C13"/>
    <w:rsid w:val="00D55DD6"/>
    <w:rsid w:val="00D57AB3"/>
    <w:rsid w:val="00D63A52"/>
    <w:rsid w:val="00D63D5E"/>
    <w:rsid w:val="00D65118"/>
    <w:rsid w:val="00D65454"/>
    <w:rsid w:val="00D66089"/>
    <w:rsid w:val="00D667FB"/>
    <w:rsid w:val="00D7292B"/>
    <w:rsid w:val="00D73537"/>
    <w:rsid w:val="00D73698"/>
    <w:rsid w:val="00D75783"/>
    <w:rsid w:val="00D7694B"/>
    <w:rsid w:val="00D7704C"/>
    <w:rsid w:val="00D86750"/>
    <w:rsid w:val="00D92161"/>
    <w:rsid w:val="00D92E12"/>
    <w:rsid w:val="00D93228"/>
    <w:rsid w:val="00D936B5"/>
    <w:rsid w:val="00D945AB"/>
    <w:rsid w:val="00D97782"/>
    <w:rsid w:val="00DA14BB"/>
    <w:rsid w:val="00DA1ED1"/>
    <w:rsid w:val="00DA44D8"/>
    <w:rsid w:val="00DA5936"/>
    <w:rsid w:val="00DA5AA8"/>
    <w:rsid w:val="00DA5C8F"/>
    <w:rsid w:val="00DB143F"/>
    <w:rsid w:val="00DB2BE3"/>
    <w:rsid w:val="00DB302C"/>
    <w:rsid w:val="00DB4C6F"/>
    <w:rsid w:val="00DB7464"/>
    <w:rsid w:val="00DB7B45"/>
    <w:rsid w:val="00DC151B"/>
    <w:rsid w:val="00DC1FEE"/>
    <w:rsid w:val="00DC3328"/>
    <w:rsid w:val="00DC3487"/>
    <w:rsid w:val="00DC3D18"/>
    <w:rsid w:val="00DC500C"/>
    <w:rsid w:val="00DC6203"/>
    <w:rsid w:val="00DC65C7"/>
    <w:rsid w:val="00DC7C9E"/>
    <w:rsid w:val="00DD41EA"/>
    <w:rsid w:val="00DD4B5B"/>
    <w:rsid w:val="00DD4F00"/>
    <w:rsid w:val="00DD5C16"/>
    <w:rsid w:val="00DD7B7E"/>
    <w:rsid w:val="00DD7F79"/>
    <w:rsid w:val="00DE20A9"/>
    <w:rsid w:val="00DE2702"/>
    <w:rsid w:val="00DE2A71"/>
    <w:rsid w:val="00DE2BC6"/>
    <w:rsid w:val="00DE2CA2"/>
    <w:rsid w:val="00DE59E9"/>
    <w:rsid w:val="00DE606F"/>
    <w:rsid w:val="00DE661E"/>
    <w:rsid w:val="00DE76F4"/>
    <w:rsid w:val="00DF05C1"/>
    <w:rsid w:val="00DF0742"/>
    <w:rsid w:val="00DF0D63"/>
    <w:rsid w:val="00DF170F"/>
    <w:rsid w:val="00DF1861"/>
    <w:rsid w:val="00DF3679"/>
    <w:rsid w:val="00DF4C42"/>
    <w:rsid w:val="00E017B4"/>
    <w:rsid w:val="00E03CDD"/>
    <w:rsid w:val="00E05943"/>
    <w:rsid w:val="00E05E21"/>
    <w:rsid w:val="00E06436"/>
    <w:rsid w:val="00E075DD"/>
    <w:rsid w:val="00E07B4E"/>
    <w:rsid w:val="00E1087E"/>
    <w:rsid w:val="00E10DD8"/>
    <w:rsid w:val="00E115DE"/>
    <w:rsid w:val="00E11A7D"/>
    <w:rsid w:val="00E11FE1"/>
    <w:rsid w:val="00E12BFD"/>
    <w:rsid w:val="00E133F9"/>
    <w:rsid w:val="00E1389F"/>
    <w:rsid w:val="00E13B16"/>
    <w:rsid w:val="00E13E0B"/>
    <w:rsid w:val="00E15596"/>
    <w:rsid w:val="00E1560B"/>
    <w:rsid w:val="00E15D83"/>
    <w:rsid w:val="00E20929"/>
    <w:rsid w:val="00E2112A"/>
    <w:rsid w:val="00E217AA"/>
    <w:rsid w:val="00E24ABE"/>
    <w:rsid w:val="00E2542F"/>
    <w:rsid w:val="00E25621"/>
    <w:rsid w:val="00E27DC1"/>
    <w:rsid w:val="00E3361C"/>
    <w:rsid w:val="00E3456F"/>
    <w:rsid w:val="00E34B0A"/>
    <w:rsid w:val="00E350C4"/>
    <w:rsid w:val="00E35479"/>
    <w:rsid w:val="00E36064"/>
    <w:rsid w:val="00E369DB"/>
    <w:rsid w:val="00E36FB7"/>
    <w:rsid w:val="00E37095"/>
    <w:rsid w:val="00E37A17"/>
    <w:rsid w:val="00E40A33"/>
    <w:rsid w:val="00E40A4B"/>
    <w:rsid w:val="00E40CC8"/>
    <w:rsid w:val="00E4154F"/>
    <w:rsid w:val="00E426A8"/>
    <w:rsid w:val="00E432E7"/>
    <w:rsid w:val="00E44718"/>
    <w:rsid w:val="00E447B7"/>
    <w:rsid w:val="00E46146"/>
    <w:rsid w:val="00E46535"/>
    <w:rsid w:val="00E5196E"/>
    <w:rsid w:val="00E51BCB"/>
    <w:rsid w:val="00E579C7"/>
    <w:rsid w:val="00E6124C"/>
    <w:rsid w:val="00E61FEE"/>
    <w:rsid w:val="00E6261C"/>
    <w:rsid w:val="00E62B7A"/>
    <w:rsid w:val="00E648F1"/>
    <w:rsid w:val="00E64D65"/>
    <w:rsid w:val="00E66789"/>
    <w:rsid w:val="00E67F94"/>
    <w:rsid w:val="00E70C62"/>
    <w:rsid w:val="00E7113C"/>
    <w:rsid w:val="00E71714"/>
    <w:rsid w:val="00E72BB0"/>
    <w:rsid w:val="00E72DD9"/>
    <w:rsid w:val="00E73532"/>
    <w:rsid w:val="00E753C1"/>
    <w:rsid w:val="00E7709F"/>
    <w:rsid w:val="00E7765C"/>
    <w:rsid w:val="00E81AF3"/>
    <w:rsid w:val="00E8235E"/>
    <w:rsid w:val="00E823FF"/>
    <w:rsid w:val="00E82F48"/>
    <w:rsid w:val="00E85041"/>
    <w:rsid w:val="00E850DC"/>
    <w:rsid w:val="00E85B76"/>
    <w:rsid w:val="00E87726"/>
    <w:rsid w:val="00E878C9"/>
    <w:rsid w:val="00E947E4"/>
    <w:rsid w:val="00E94CC7"/>
    <w:rsid w:val="00E95541"/>
    <w:rsid w:val="00E97618"/>
    <w:rsid w:val="00E976E1"/>
    <w:rsid w:val="00EA0DFC"/>
    <w:rsid w:val="00EA2654"/>
    <w:rsid w:val="00EA3CF6"/>
    <w:rsid w:val="00EA4525"/>
    <w:rsid w:val="00EA549B"/>
    <w:rsid w:val="00EA7754"/>
    <w:rsid w:val="00EB295E"/>
    <w:rsid w:val="00EB2A67"/>
    <w:rsid w:val="00EB458F"/>
    <w:rsid w:val="00EB64CD"/>
    <w:rsid w:val="00EB709A"/>
    <w:rsid w:val="00EB7329"/>
    <w:rsid w:val="00EB7FBE"/>
    <w:rsid w:val="00EC0924"/>
    <w:rsid w:val="00EC1682"/>
    <w:rsid w:val="00EC2B8B"/>
    <w:rsid w:val="00EC361B"/>
    <w:rsid w:val="00EC45FC"/>
    <w:rsid w:val="00EC4675"/>
    <w:rsid w:val="00EC4A1E"/>
    <w:rsid w:val="00EC5799"/>
    <w:rsid w:val="00EC5B1A"/>
    <w:rsid w:val="00EC5FC7"/>
    <w:rsid w:val="00EC6A4D"/>
    <w:rsid w:val="00EC6E01"/>
    <w:rsid w:val="00EC78A5"/>
    <w:rsid w:val="00EC7B8A"/>
    <w:rsid w:val="00ED1F38"/>
    <w:rsid w:val="00ED4825"/>
    <w:rsid w:val="00ED5B3C"/>
    <w:rsid w:val="00ED7327"/>
    <w:rsid w:val="00EE1651"/>
    <w:rsid w:val="00EE1CC5"/>
    <w:rsid w:val="00EE1DA8"/>
    <w:rsid w:val="00EE5816"/>
    <w:rsid w:val="00EE638F"/>
    <w:rsid w:val="00EE7C71"/>
    <w:rsid w:val="00EF1C6E"/>
    <w:rsid w:val="00EF3BC5"/>
    <w:rsid w:val="00EF490D"/>
    <w:rsid w:val="00EF59AB"/>
    <w:rsid w:val="00F0094C"/>
    <w:rsid w:val="00F00B72"/>
    <w:rsid w:val="00F01FA4"/>
    <w:rsid w:val="00F03786"/>
    <w:rsid w:val="00F03B78"/>
    <w:rsid w:val="00F04141"/>
    <w:rsid w:val="00F04C57"/>
    <w:rsid w:val="00F04D82"/>
    <w:rsid w:val="00F0534B"/>
    <w:rsid w:val="00F10A52"/>
    <w:rsid w:val="00F11421"/>
    <w:rsid w:val="00F1199B"/>
    <w:rsid w:val="00F13527"/>
    <w:rsid w:val="00F14BBC"/>
    <w:rsid w:val="00F21550"/>
    <w:rsid w:val="00F22DDA"/>
    <w:rsid w:val="00F240FB"/>
    <w:rsid w:val="00F2452A"/>
    <w:rsid w:val="00F24993"/>
    <w:rsid w:val="00F24C5A"/>
    <w:rsid w:val="00F256E8"/>
    <w:rsid w:val="00F30E2F"/>
    <w:rsid w:val="00F30FD5"/>
    <w:rsid w:val="00F31EB5"/>
    <w:rsid w:val="00F328B6"/>
    <w:rsid w:val="00F337FC"/>
    <w:rsid w:val="00F340FD"/>
    <w:rsid w:val="00F34DCE"/>
    <w:rsid w:val="00F3549D"/>
    <w:rsid w:val="00F35BCD"/>
    <w:rsid w:val="00F35DDD"/>
    <w:rsid w:val="00F37E62"/>
    <w:rsid w:val="00F4126A"/>
    <w:rsid w:val="00F4462A"/>
    <w:rsid w:val="00F45CAC"/>
    <w:rsid w:val="00F476FE"/>
    <w:rsid w:val="00F50810"/>
    <w:rsid w:val="00F50C0E"/>
    <w:rsid w:val="00F51CC5"/>
    <w:rsid w:val="00F52FBB"/>
    <w:rsid w:val="00F53D84"/>
    <w:rsid w:val="00F60859"/>
    <w:rsid w:val="00F61038"/>
    <w:rsid w:val="00F62242"/>
    <w:rsid w:val="00F62565"/>
    <w:rsid w:val="00F63EB4"/>
    <w:rsid w:val="00F6610D"/>
    <w:rsid w:val="00F66EBB"/>
    <w:rsid w:val="00F6758F"/>
    <w:rsid w:val="00F7039E"/>
    <w:rsid w:val="00F71666"/>
    <w:rsid w:val="00F71A4E"/>
    <w:rsid w:val="00F71B54"/>
    <w:rsid w:val="00F738F2"/>
    <w:rsid w:val="00F73AA4"/>
    <w:rsid w:val="00F741CD"/>
    <w:rsid w:val="00F750EF"/>
    <w:rsid w:val="00F76058"/>
    <w:rsid w:val="00F80DDE"/>
    <w:rsid w:val="00F81977"/>
    <w:rsid w:val="00F829AB"/>
    <w:rsid w:val="00F82D2A"/>
    <w:rsid w:val="00F839B3"/>
    <w:rsid w:val="00F86B65"/>
    <w:rsid w:val="00F87B7D"/>
    <w:rsid w:val="00F903E4"/>
    <w:rsid w:val="00F91A51"/>
    <w:rsid w:val="00F920C9"/>
    <w:rsid w:val="00F94A50"/>
    <w:rsid w:val="00F9546A"/>
    <w:rsid w:val="00F959DC"/>
    <w:rsid w:val="00F96C2D"/>
    <w:rsid w:val="00FA0149"/>
    <w:rsid w:val="00FA09E9"/>
    <w:rsid w:val="00FA2563"/>
    <w:rsid w:val="00FA27CA"/>
    <w:rsid w:val="00FA5D7B"/>
    <w:rsid w:val="00FA7798"/>
    <w:rsid w:val="00FB0296"/>
    <w:rsid w:val="00FB2923"/>
    <w:rsid w:val="00FB4205"/>
    <w:rsid w:val="00FC01E7"/>
    <w:rsid w:val="00FC06B0"/>
    <w:rsid w:val="00FC0993"/>
    <w:rsid w:val="00FC0B3A"/>
    <w:rsid w:val="00FC11C8"/>
    <w:rsid w:val="00FC2978"/>
    <w:rsid w:val="00FC297D"/>
    <w:rsid w:val="00FC4262"/>
    <w:rsid w:val="00FC7333"/>
    <w:rsid w:val="00FD1F9A"/>
    <w:rsid w:val="00FD241D"/>
    <w:rsid w:val="00FD29D6"/>
    <w:rsid w:val="00FD4216"/>
    <w:rsid w:val="00FD5C50"/>
    <w:rsid w:val="00FD683F"/>
    <w:rsid w:val="00FE0452"/>
    <w:rsid w:val="00FE0A81"/>
    <w:rsid w:val="00FE1AB3"/>
    <w:rsid w:val="00FE29B0"/>
    <w:rsid w:val="00FE39B8"/>
    <w:rsid w:val="00FE468A"/>
    <w:rsid w:val="00FE4C85"/>
    <w:rsid w:val="00FE51D4"/>
    <w:rsid w:val="00FF0353"/>
    <w:rsid w:val="00FF0AB1"/>
    <w:rsid w:val="00FF270B"/>
    <w:rsid w:val="00FF2A85"/>
    <w:rsid w:val="00FF3497"/>
    <w:rsid w:val="00FF3BFE"/>
    <w:rsid w:val="00FF4466"/>
    <w:rsid w:val="00FF4E54"/>
    <w:rsid w:val="00FF628D"/>
    <w:rsid w:val="00FF66A2"/>
    <w:rsid w:val="010128F0"/>
    <w:rsid w:val="010266EA"/>
    <w:rsid w:val="01226BC0"/>
    <w:rsid w:val="013E5603"/>
    <w:rsid w:val="015722EF"/>
    <w:rsid w:val="016722FB"/>
    <w:rsid w:val="01672B41"/>
    <w:rsid w:val="017F3700"/>
    <w:rsid w:val="01A7727C"/>
    <w:rsid w:val="01B2791D"/>
    <w:rsid w:val="01C74593"/>
    <w:rsid w:val="01EB6297"/>
    <w:rsid w:val="01F428A1"/>
    <w:rsid w:val="020236B3"/>
    <w:rsid w:val="02053468"/>
    <w:rsid w:val="02294067"/>
    <w:rsid w:val="0235413D"/>
    <w:rsid w:val="025E0F13"/>
    <w:rsid w:val="02684C80"/>
    <w:rsid w:val="02934E07"/>
    <w:rsid w:val="02AB72A5"/>
    <w:rsid w:val="02AD5402"/>
    <w:rsid w:val="02D05904"/>
    <w:rsid w:val="02F348C3"/>
    <w:rsid w:val="031101D5"/>
    <w:rsid w:val="035A393B"/>
    <w:rsid w:val="035D7530"/>
    <w:rsid w:val="036B2171"/>
    <w:rsid w:val="03A667E7"/>
    <w:rsid w:val="03A84DB3"/>
    <w:rsid w:val="04125999"/>
    <w:rsid w:val="041D339E"/>
    <w:rsid w:val="045A1585"/>
    <w:rsid w:val="0470499E"/>
    <w:rsid w:val="047069A4"/>
    <w:rsid w:val="049973EA"/>
    <w:rsid w:val="04BC6023"/>
    <w:rsid w:val="04C24EC4"/>
    <w:rsid w:val="04CB37B2"/>
    <w:rsid w:val="04ED23F9"/>
    <w:rsid w:val="0505728D"/>
    <w:rsid w:val="054E5209"/>
    <w:rsid w:val="05583A1F"/>
    <w:rsid w:val="055A1885"/>
    <w:rsid w:val="05746485"/>
    <w:rsid w:val="059907BE"/>
    <w:rsid w:val="05D42DBC"/>
    <w:rsid w:val="05DE0D7A"/>
    <w:rsid w:val="05EC3D06"/>
    <w:rsid w:val="060D523C"/>
    <w:rsid w:val="06361D76"/>
    <w:rsid w:val="06543EE6"/>
    <w:rsid w:val="065B287E"/>
    <w:rsid w:val="065B5CA6"/>
    <w:rsid w:val="06666FCF"/>
    <w:rsid w:val="067B5AB9"/>
    <w:rsid w:val="06AF6EE6"/>
    <w:rsid w:val="06B24289"/>
    <w:rsid w:val="06C52097"/>
    <w:rsid w:val="0707321C"/>
    <w:rsid w:val="071D5BD9"/>
    <w:rsid w:val="072E522E"/>
    <w:rsid w:val="0736234A"/>
    <w:rsid w:val="075D0569"/>
    <w:rsid w:val="077A02AE"/>
    <w:rsid w:val="07BB1EEB"/>
    <w:rsid w:val="07D12B58"/>
    <w:rsid w:val="07F03241"/>
    <w:rsid w:val="08123C45"/>
    <w:rsid w:val="08204D81"/>
    <w:rsid w:val="083665EC"/>
    <w:rsid w:val="0839613A"/>
    <w:rsid w:val="083C4CE3"/>
    <w:rsid w:val="08425ED9"/>
    <w:rsid w:val="087D11CB"/>
    <w:rsid w:val="08EF0DDF"/>
    <w:rsid w:val="091F5D55"/>
    <w:rsid w:val="09383949"/>
    <w:rsid w:val="094D5F1B"/>
    <w:rsid w:val="09706ECB"/>
    <w:rsid w:val="097D4AC4"/>
    <w:rsid w:val="097D73BF"/>
    <w:rsid w:val="098606D1"/>
    <w:rsid w:val="099A6BB6"/>
    <w:rsid w:val="09A82D59"/>
    <w:rsid w:val="09B11948"/>
    <w:rsid w:val="09C501CE"/>
    <w:rsid w:val="0A0F5AAF"/>
    <w:rsid w:val="0A1A7D37"/>
    <w:rsid w:val="0A2E03C3"/>
    <w:rsid w:val="0A440607"/>
    <w:rsid w:val="0A766F6B"/>
    <w:rsid w:val="0A8C4F84"/>
    <w:rsid w:val="0AB55A83"/>
    <w:rsid w:val="0ACC75ED"/>
    <w:rsid w:val="0AD158A7"/>
    <w:rsid w:val="0AE76850"/>
    <w:rsid w:val="0B032488"/>
    <w:rsid w:val="0B17561E"/>
    <w:rsid w:val="0B3404FE"/>
    <w:rsid w:val="0B4167C2"/>
    <w:rsid w:val="0B444046"/>
    <w:rsid w:val="0B4E2035"/>
    <w:rsid w:val="0B4F5150"/>
    <w:rsid w:val="0B6A007F"/>
    <w:rsid w:val="0B837C4D"/>
    <w:rsid w:val="0BAC4A84"/>
    <w:rsid w:val="0BE6759E"/>
    <w:rsid w:val="0BEE5D25"/>
    <w:rsid w:val="0C022BC8"/>
    <w:rsid w:val="0C05627A"/>
    <w:rsid w:val="0C0B1A52"/>
    <w:rsid w:val="0C104E07"/>
    <w:rsid w:val="0C20543A"/>
    <w:rsid w:val="0C4B08FB"/>
    <w:rsid w:val="0C4C6991"/>
    <w:rsid w:val="0C5F682B"/>
    <w:rsid w:val="0C740F3D"/>
    <w:rsid w:val="0C9F7207"/>
    <w:rsid w:val="0CCB4E72"/>
    <w:rsid w:val="0CD90F54"/>
    <w:rsid w:val="0CD95C33"/>
    <w:rsid w:val="0D1604E1"/>
    <w:rsid w:val="0D246A8C"/>
    <w:rsid w:val="0D746F4A"/>
    <w:rsid w:val="0D8C3044"/>
    <w:rsid w:val="0DA60BDD"/>
    <w:rsid w:val="0DC10FCE"/>
    <w:rsid w:val="0DD10B75"/>
    <w:rsid w:val="0DD81FDE"/>
    <w:rsid w:val="0E074C74"/>
    <w:rsid w:val="0E1A141D"/>
    <w:rsid w:val="0E422AF5"/>
    <w:rsid w:val="0E820927"/>
    <w:rsid w:val="0EA92EA8"/>
    <w:rsid w:val="0EB85185"/>
    <w:rsid w:val="0ED8621A"/>
    <w:rsid w:val="0EEE4074"/>
    <w:rsid w:val="0EF5311A"/>
    <w:rsid w:val="0EFB3AA4"/>
    <w:rsid w:val="0EFE3455"/>
    <w:rsid w:val="0F2330EE"/>
    <w:rsid w:val="0F3D2A7A"/>
    <w:rsid w:val="0F3F3375"/>
    <w:rsid w:val="0F4C5569"/>
    <w:rsid w:val="0FB841EF"/>
    <w:rsid w:val="0FC57D84"/>
    <w:rsid w:val="0FE83A20"/>
    <w:rsid w:val="0FE9699C"/>
    <w:rsid w:val="0FFB36D2"/>
    <w:rsid w:val="10291F6D"/>
    <w:rsid w:val="104C379A"/>
    <w:rsid w:val="105418FF"/>
    <w:rsid w:val="107C0022"/>
    <w:rsid w:val="10826715"/>
    <w:rsid w:val="108708C1"/>
    <w:rsid w:val="10912D7E"/>
    <w:rsid w:val="10B2495B"/>
    <w:rsid w:val="10C7063F"/>
    <w:rsid w:val="10CF7FFF"/>
    <w:rsid w:val="10D22431"/>
    <w:rsid w:val="10E63A63"/>
    <w:rsid w:val="10F46BDA"/>
    <w:rsid w:val="11251207"/>
    <w:rsid w:val="116A6995"/>
    <w:rsid w:val="11744577"/>
    <w:rsid w:val="117553C1"/>
    <w:rsid w:val="11822900"/>
    <w:rsid w:val="11847219"/>
    <w:rsid w:val="11C24036"/>
    <w:rsid w:val="11E96277"/>
    <w:rsid w:val="1217690A"/>
    <w:rsid w:val="123E793A"/>
    <w:rsid w:val="12447449"/>
    <w:rsid w:val="124D6873"/>
    <w:rsid w:val="125D103B"/>
    <w:rsid w:val="126265B8"/>
    <w:rsid w:val="1279351E"/>
    <w:rsid w:val="1284001A"/>
    <w:rsid w:val="12840693"/>
    <w:rsid w:val="12853A9F"/>
    <w:rsid w:val="12D136B9"/>
    <w:rsid w:val="12D25006"/>
    <w:rsid w:val="12F93F98"/>
    <w:rsid w:val="12FE3B20"/>
    <w:rsid w:val="1307145F"/>
    <w:rsid w:val="131F14DB"/>
    <w:rsid w:val="137714D8"/>
    <w:rsid w:val="13A84FF8"/>
    <w:rsid w:val="13AD66A7"/>
    <w:rsid w:val="13B36928"/>
    <w:rsid w:val="13B4632D"/>
    <w:rsid w:val="13CC09CE"/>
    <w:rsid w:val="13E27D32"/>
    <w:rsid w:val="140A735E"/>
    <w:rsid w:val="141B2794"/>
    <w:rsid w:val="143B7FF8"/>
    <w:rsid w:val="1440536F"/>
    <w:rsid w:val="14B51A5B"/>
    <w:rsid w:val="14B545B5"/>
    <w:rsid w:val="14C5774F"/>
    <w:rsid w:val="14DB7CE4"/>
    <w:rsid w:val="14EA3FED"/>
    <w:rsid w:val="14F900DA"/>
    <w:rsid w:val="151412DC"/>
    <w:rsid w:val="15232E8F"/>
    <w:rsid w:val="15261146"/>
    <w:rsid w:val="153608C8"/>
    <w:rsid w:val="155511C6"/>
    <w:rsid w:val="1563436E"/>
    <w:rsid w:val="15940770"/>
    <w:rsid w:val="15964491"/>
    <w:rsid w:val="15A602EF"/>
    <w:rsid w:val="15C2067E"/>
    <w:rsid w:val="15C7349F"/>
    <w:rsid w:val="15CF16A7"/>
    <w:rsid w:val="161B123B"/>
    <w:rsid w:val="162E71AD"/>
    <w:rsid w:val="16395C9F"/>
    <w:rsid w:val="163E460F"/>
    <w:rsid w:val="1648352C"/>
    <w:rsid w:val="16510926"/>
    <w:rsid w:val="165B3E5B"/>
    <w:rsid w:val="166D271C"/>
    <w:rsid w:val="16861947"/>
    <w:rsid w:val="16867627"/>
    <w:rsid w:val="16A513C3"/>
    <w:rsid w:val="16C93D8C"/>
    <w:rsid w:val="16EC787B"/>
    <w:rsid w:val="172A4B7E"/>
    <w:rsid w:val="17437E40"/>
    <w:rsid w:val="174C27BA"/>
    <w:rsid w:val="17616DF2"/>
    <w:rsid w:val="17863A11"/>
    <w:rsid w:val="17864D72"/>
    <w:rsid w:val="17A23B19"/>
    <w:rsid w:val="17A3258B"/>
    <w:rsid w:val="17A4625E"/>
    <w:rsid w:val="17CB12C9"/>
    <w:rsid w:val="17E375EA"/>
    <w:rsid w:val="17F978CD"/>
    <w:rsid w:val="18244EAD"/>
    <w:rsid w:val="182867BD"/>
    <w:rsid w:val="18353677"/>
    <w:rsid w:val="18915F90"/>
    <w:rsid w:val="18B215D7"/>
    <w:rsid w:val="18BE7B61"/>
    <w:rsid w:val="18EB6EC8"/>
    <w:rsid w:val="19033B41"/>
    <w:rsid w:val="19356784"/>
    <w:rsid w:val="19436C77"/>
    <w:rsid w:val="19786290"/>
    <w:rsid w:val="19810F0A"/>
    <w:rsid w:val="19D74023"/>
    <w:rsid w:val="19ED4317"/>
    <w:rsid w:val="1A0E3AF4"/>
    <w:rsid w:val="1A186235"/>
    <w:rsid w:val="1A606366"/>
    <w:rsid w:val="1B165589"/>
    <w:rsid w:val="1B2304CB"/>
    <w:rsid w:val="1B264889"/>
    <w:rsid w:val="1B4E17C8"/>
    <w:rsid w:val="1B866EBF"/>
    <w:rsid w:val="1B9F726E"/>
    <w:rsid w:val="1BA344D1"/>
    <w:rsid w:val="1BB811F8"/>
    <w:rsid w:val="1BE85270"/>
    <w:rsid w:val="1C045D2C"/>
    <w:rsid w:val="1C1608F5"/>
    <w:rsid w:val="1C2B11DC"/>
    <w:rsid w:val="1C6D4DC4"/>
    <w:rsid w:val="1C74458E"/>
    <w:rsid w:val="1C883A3D"/>
    <w:rsid w:val="1CA30FDB"/>
    <w:rsid w:val="1CBA77E6"/>
    <w:rsid w:val="1CEA49FB"/>
    <w:rsid w:val="1CEE7CD5"/>
    <w:rsid w:val="1CFC5B2B"/>
    <w:rsid w:val="1D1634FB"/>
    <w:rsid w:val="1D5477EA"/>
    <w:rsid w:val="1D591742"/>
    <w:rsid w:val="1D72428F"/>
    <w:rsid w:val="1DD677B2"/>
    <w:rsid w:val="1DF76556"/>
    <w:rsid w:val="1E3B356A"/>
    <w:rsid w:val="1E480D74"/>
    <w:rsid w:val="1E8A2BA0"/>
    <w:rsid w:val="1EDA30C4"/>
    <w:rsid w:val="1EF953F8"/>
    <w:rsid w:val="1F3959D3"/>
    <w:rsid w:val="1F586619"/>
    <w:rsid w:val="1F6F2371"/>
    <w:rsid w:val="1F783045"/>
    <w:rsid w:val="1F8B2C6E"/>
    <w:rsid w:val="1F8D73BA"/>
    <w:rsid w:val="1FAD5A8F"/>
    <w:rsid w:val="1FBA58F5"/>
    <w:rsid w:val="1FC5458B"/>
    <w:rsid w:val="1FDF4D1A"/>
    <w:rsid w:val="1FF6004D"/>
    <w:rsid w:val="1FFB6AD5"/>
    <w:rsid w:val="200F516D"/>
    <w:rsid w:val="202A58B0"/>
    <w:rsid w:val="20736DC6"/>
    <w:rsid w:val="20970425"/>
    <w:rsid w:val="20B35EC3"/>
    <w:rsid w:val="20C4005A"/>
    <w:rsid w:val="211C6533"/>
    <w:rsid w:val="212E70C5"/>
    <w:rsid w:val="21373483"/>
    <w:rsid w:val="213D5C6F"/>
    <w:rsid w:val="217E5F30"/>
    <w:rsid w:val="21944BD5"/>
    <w:rsid w:val="21B60677"/>
    <w:rsid w:val="21C34427"/>
    <w:rsid w:val="21EF469A"/>
    <w:rsid w:val="22073D5A"/>
    <w:rsid w:val="220B407F"/>
    <w:rsid w:val="22152570"/>
    <w:rsid w:val="223C7B8F"/>
    <w:rsid w:val="22630EB5"/>
    <w:rsid w:val="22765F4C"/>
    <w:rsid w:val="2282012B"/>
    <w:rsid w:val="22A9524A"/>
    <w:rsid w:val="22DC52C1"/>
    <w:rsid w:val="22F664C5"/>
    <w:rsid w:val="231A757F"/>
    <w:rsid w:val="23374B07"/>
    <w:rsid w:val="2346787A"/>
    <w:rsid w:val="2351461A"/>
    <w:rsid w:val="23540C7F"/>
    <w:rsid w:val="237D3E37"/>
    <w:rsid w:val="23A96904"/>
    <w:rsid w:val="23C65DCB"/>
    <w:rsid w:val="23E10F23"/>
    <w:rsid w:val="23E8105A"/>
    <w:rsid w:val="23EE6E2C"/>
    <w:rsid w:val="241430A6"/>
    <w:rsid w:val="24191E71"/>
    <w:rsid w:val="24320F8E"/>
    <w:rsid w:val="24346E49"/>
    <w:rsid w:val="2445699A"/>
    <w:rsid w:val="24522084"/>
    <w:rsid w:val="246E0753"/>
    <w:rsid w:val="24863878"/>
    <w:rsid w:val="24AC641E"/>
    <w:rsid w:val="24DF0B03"/>
    <w:rsid w:val="252E6007"/>
    <w:rsid w:val="2531749C"/>
    <w:rsid w:val="25560395"/>
    <w:rsid w:val="259709E7"/>
    <w:rsid w:val="259A3217"/>
    <w:rsid w:val="25A94F3B"/>
    <w:rsid w:val="25BB10CF"/>
    <w:rsid w:val="25C45F2B"/>
    <w:rsid w:val="26417A30"/>
    <w:rsid w:val="26581051"/>
    <w:rsid w:val="267712C7"/>
    <w:rsid w:val="267D5EA9"/>
    <w:rsid w:val="268562E5"/>
    <w:rsid w:val="26B26BA7"/>
    <w:rsid w:val="26D23149"/>
    <w:rsid w:val="26EC686C"/>
    <w:rsid w:val="27262BB8"/>
    <w:rsid w:val="2728637C"/>
    <w:rsid w:val="27390A8A"/>
    <w:rsid w:val="274B0F06"/>
    <w:rsid w:val="279750C3"/>
    <w:rsid w:val="27BF710D"/>
    <w:rsid w:val="27D12296"/>
    <w:rsid w:val="27E95B8F"/>
    <w:rsid w:val="284854B9"/>
    <w:rsid w:val="28537A57"/>
    <w:rsid w:val="287B4921"/>
    <w:rsid w:val="28841F53"/>
    <w:rsid w:val="288719FD"/>
    <w:rsid w:val="28AE1435"/>
    <w:rsid w:val="28F3620C"/>
    <w:rsid w:val="29021BEA"/>
    <w:rsid w:val="293C1AF3"/>
    <w:rsid w:val="2954587E"/>
    <w:rsid w:val="296001B3"/>
    <w:rsid w:val="29852265"/>
    <w:rsid w:val="29890893"/>
    <w:rsid w:val="29963518"/>
    <w:rsid w:val="29967A00"/>
    <w:rsid w:val="29AC56EF"/>
    <w:rsid w:val="29EB24ED"/>
    <w:rsid w:val="2A394ED6"/>
    <w:rsid w:val="2A462286"/>
    <w:rsid w:val="2A8608F2"/>
    <w:rsid w:val="2ACA4E4A"/>
    <w:rsid w:val="2AD14C51"/>
    <w:rsid w:val="2B053CD1"/>
    <w:rsid w:val="2B6B1210"/>
    <w:rsid w:val="2BB24404"/>
    <w:rsid w:val="2BB94E91"/>
    <w:rsid w:val="2BC41D09"/>
    <w:rsid w:val="2C080EE3"/>
    <w:rsid w:val="2C0A78BE"/>
    <w:rsid w:val="2C0F6055"/>
    <w:rsid w:val="2C1242E3"/>
    <w:rsid w:val="2C154DB3"/>
    <w:rsid w:val="2C372FF9"/>
    <w:rsid w:val="2C5D7271"/>
    <w:rsid w:val="2C752F4A"/>
    <w:rsid w:val="2C8E4BD7"/>
    <w:rsid w:val="2C9967B8"/>
    <w:rsid w:val="2C9F3ECA"/>
    <w:rsid w:val="2CA027FA"/>
    <w:rsid w:val="2CA934F9"/>
    <w:rsid w:val="2CD6513D"/>
    <w:rsid w:val="2D4A57E5"/>
    <w:rsid w:val="2D884091"/>
    <w:rsid w:val="2D8F0000"/>
    <w:rsid w:val="2D8F2CA5"/>
    <w:rsid w:val="2D91044E"/>
    <w:rsid w:val="2DAA34C2"/>
    <w:rsid w:val="2DB61EA0"/>
    <w:rsid w:val="2DF614E4"/>
    <w:rsid w:val="2E087B8F"/>
    <w:rsid w:val="2E437C4E"/>
    <w:rsid w:val="2E690B02"/>
    <w:rsid w:val="2EA22429"/>
    <w:rsid w:val="2EBC486C"/>
    <w:rsid w:val="2ECC7B4E"/>
    <w:rsid w:val="2ED2444E"/>
    <w:rsid w:val="2F1F2ED5"/>
    <w:rsid w:val="2F3B0D12"/>
    <w:rsid w:val="2F490583"/>
    <w:rsid w:val="2F4D39DA"/>
    <w:rsid w:val="2F523DBE"/>
    <w:rsid w:val="2F7231B9"/>
    <w:rsid w:val="2F84081C"/>
    <w:rsid w:val="2F94153F"/>
    <w:rsid w:val="2FC055FE"/>
    <w:rsid w:val="2FC26C45"/>
    <w:rsid w:val="2FD47748"/>
    <w:rsid w:val="2FF013D0"/>
    <w:rsid w:val="301E7D6E"/>
    <w:rsid w:val="30315B16"/>
    <w:rsid w:val="30367A2C"/>
    <w:rsid w:val="30454D87"/>
    <w:rsid w:val="306273F4"/>
    <w:rsid w:val="308E25B3"/>
    <w:rsid w:val="30D02739"/>
    <w:rsid w:val="30F12A27"/>
    <w:rsid w:val="30F94DED"/>
    <w:rsid w:val="310340F7"/>
    <w:rsid w:val="31157CE1"/>
    <w:rsid w:val="31183094"/>
    <w:rsid w:val="315B799F"/>
    <w:rsid w:val="3160401F"/>
    <w:rsid w:val="317468C9"/>
    <w:rsid w:val="31833E29"/>
    <w:rsid w:val="31C130A6"/>
    <w:rsid w:val="31C44DA9"/>
    <w:rsid w:val="31D46C7F"/>
    <w:rsid w:val="31DA6F64"/>
    <w:rsid w:val="31DC416F"/>
    <w:rsid w:val="31FB2A72"/>
    <w:rsid w:val="32143954"/>
    <w:rsid w:val="323D4A25"/>
    <w:rsid w:val="32486BE9"/>
    <w:rsid w:val="325B5A0A"/>
    <w:rsid w:val="326A5347"/>
    <w:rsid w:val="326D5AA6"/>
    <w:rsid w:val="326F7D5A"/>
    <w:rsid w:val="327C380E"/>
    <w:rsid w:val="32A27094"/>
    <w:rsid w:val="32C418F8"/>
    <w:rsid w:val="32C7719F"/>
    <w:rsid w:val="331B6D6E"/>
    <w:rsid w:val="33E34843"/>
    <w:rsid w:val="33ED6796"/>
    <w:rsid w:val="341F61C7"/>
    <w:rsid w:val="344A5A2F"/>
    <w:rsid w:val="347204E0"/>
    <w:rsid w:val="349160CB"/>
    <w:rsid w:val="34A340B0"/>
    <w:rsid w:val="34D9229C"/>
    <w:rsid w:val="34EC10F8"/>
    <w:rsid w:val="352C5CBB"/>
    <w:rsid w:val="352D3126"/>
    <w:rsid w:val="353E523B"/>
    <w:rsid w:val="35413AB4"/>
    <w:rsid w:val="3555351F"/>
    <w:rsid w:val="355C2677"/>
    <w:rsid w:val="357D390A"/>
    <w:rsid w:val="357F2A64"/>
    <w:rsid w:val="359E4E3A"/>
    <w:rsid w:val="35D858D2"/>
    <w:rsid w:val="35E71853"/>
    <w:rsid w:val="35E932DE"/>
    <w:rsid w:val="36052EE7"/>
    <w:rsid w:val="360B381C"/>
    <w:rsid w:val="363B2FE4"/>
    <w:rsid w:val="364F6E55"/>
    <w:rsid w:val="36524F1A"/>
    <w:rsid w:val="3654704D"/>
    <w:rsid w:val="36633BC3"/>
    <w:rsid w:val="368B0590"/>
    <w:rsid w:val="36AA5CC8"/>
    <w:rsid w:val="36C909BA"/>
    <w:rsid w:val="36CA22E2"/>
    <w:rsid w:val="36CD23DB"/>
    <w:rsid w:val="36D37FC3"/>
    <w:rsid w:val="37160A8C"/>
    <w:rsid w:val="37397428"/>
    <w:rsid w:val="375C43D4"/>
    <w:rsid w:val="37715146"/>
    <w:rsid w:val="37785141"/>
    <w:rsid w:val="377E78CC"/>
    <w:rsid w:val="3799093B"/>
    <w:rsid w:val="37A41897"/>
    <w:rsid w:val="37A43314"/>
    <w:rsid w:val="37AD62F7"/>
    <w:rsid w:val="37B92C87"/>
    <w:rsid w:val="37BD512E"/>
    <w:rsid w:val="37C858F9"/>
    <w:rsid w:val="37CF1656"/>
    <w:rsid w:val="37D30C5F"/>
    <w:rsid w:val="37D630E9"/>
    <w:rsid w:val="380E1689"/>
    <w:rsid w:val="38101977"/>
    <w:rsid w:val="38137BFF"/>
    <w:rsid w:val="386876EF"/>
    <w:rsid w:val="387A7CDD"/>
    <w:rsid w:val="38C61BF6"/>
    <w:rsid w:val="38C84008"/>
    <w:rsid w:val="38DB0228"/>
    <w:rsid w:val="391F0F7E"/>
    <w:rsid w:val="394B5BE6"/>
    <w:rsid w:val="39547930"/>
    <w:rsid w:val="39765AB1"/>
    <w:rsid w:val="39871C05"/>
    <w:rsid w:val="39964E38"/>
    <w:rsid w:val="39B1264D"/>
    <w:rsid w:val="39D401D0"/>
    <w:rsid w:val="39DB3B77"/>
    <w:rsid w:val="3A210922"/>
    <w:rsid w:val="3A593831"/>
    <w:rsid w:val="3A72068F"/>
    <w:rsid w:val="3A7C4404"/>
    <w:rsid w:val="3A933FF7"/>
    <w:rsid w:val="3AB17CF6"/>
    <w:rsid w:val="3AD75D36"/>
    <w:rsid w:val="3AE56AA9"/>
    <w:rsid w:val="3B0B13E5"/>
    <w:rsid w:val="3B3B4D55"/>
    <w:rsid w:val="3B412E34"/>
    <w:rsid w:val="3B66447A"/>
    <w:rsid w:val="3B686446"/>
    <w:rsid w:val="3BBF5630"/>
    <w:rsid w:val="3BD70284"/>
    <w:rsid w:val="3C03319A"/>
    <w:rsid w:val="3C067321"/>
    <w:rsid w:val="3C2C4762"/>
    <w:rsid w:val="3C2E6878"/>
    <w:rsid w:val="3C39508F"/>
    <w:rsid w:val="3C9F2FF1"/>
    <w:rsid w:val="3CB8368E"/>
    <w:rsid w:val="3CE413BF"/>
    <w:rsid w:val="3D0A0834"/>
    <w:rsid w:val="3D140463"/>
    <w:rsid w:val="3D321521"/>
    <w:rsid w:val="3D3217D9"/>
    <w:rsid w:val="3D6F191D"/>
    <w:rsid w:val="3D9114A9"/>
    <w:rsid w:val="3DAD2358"/>
    <w:rsid w:val="3DF1442E"/>
    <w:rsid w:val="3E357196"/>
    <w:rsid w:val="3E466EDB"/>
    <w:rsid w:val="3E722E0A"/>
    <w:rsid w:val="3EBF3856"/>
    <w:rsid w:val="3F3B7489"/>
    <w:rsid w:val="3F503953"/>
    <w:rsid w:val="3F8A1F50"/>
    <w:rsid w:val="3F8F41BC"/>
    <w:rsid w:val="3FDA78EB"/>
    <w:rsid w:val="400852FD"/>
    <w:rsid w:val="40152395"/>
    <w:rsid w:val="402E21AC"/>
    <w:rsid w:val="403068C5"/>
    <w:rsid w:val="405251AA"/>
    <w:rsid w:val="405263FB"/>
    <w:rsid w:val="40C00EA3"/>
    <w:rsid w:val="40EE0430"/>
    <w:rsid w:val="41121CB1"/>
    <w:rsid w:val="41303577"/>
    <w:rsid w:val="41591D47"/>
    <w:rsid w:val="417F60A3"/>
    <w:rsid w:val="418841F7"/>
    <w:rsid w:val="419B661C"/>
    <w:rsid w:val="41AB0D28"/>
    <w:rsid w:val="41BB380C"/>
    <w:rsid w:val="41BC52ED"/>
    <w:rsid w:val="41CB4A4B"/>
    <w:rsid w:val="424479B9"/>
    <w:rsid w:val="424B391F"/>
    <w:rsid w:val="425F3E81"/>
    <w:rsid w:val="42602582"/>
    <w:rsid w:val="42752542"/>
    <w:rsid w:val="42B7346B"/>
    <w:rsid w:val="42BF05F1"/>
    <w:rsid w:val="42D66498"/>
    <w:rsid w:val="42F16BF8"/>
    <w:rsid w:val="43003CD0"/>
    <w:rsid w:val="4397692A"/>
    <w:rsid w:val="43986116"/>
    <w:rsid w:val="43CE390F"/>
    <w:rsid w:val="43DE2422"/>
    <w:rsid w:val="43E9044E"/>
    <w:rsid w:val="44083D6C"/>
    <w:rsid w:val="445714C4"/>
    <w:rsid w:val="445B0D81"/>
    <w:rsid w:val="446C43E1"/>
    <w:rsid w:val="44703230"/>
    <w:rsid w:val="44792EE9"/>
    <w:rsid w:val="44953938"/>
    <w:rsid w:val="44A646B3"/>
    <w:rsid w:val="44C7620D"/>
    <w:rsid w:val="44E9255A"/>
    <w:rsid w:val="44EB75BB"/>
    <w:rsid w:val="450F3F78"/>
    <w:rsid w:val="451D21F2"/>
    <w:rsid w:val="452A4E04"/>
    <w:rsid w:val="45377A51"/>
    <w:rsid w:val="454678DE"/>
    <w:rsid w:val="458F7098"/>
    <w:rsid w:val="4594753E"/>
    <w:rsid w:val="45F20916"/>
    <w:rsid w:val="46343186"/>
    <w:rsid w:val="467B3494"/>
    <w:rsid w:val="467F0BBD"/>
    <w:rsid w:val="46A834F3"/>
    <w:rsid w:val="46A91359"/>
    <w:rsid w:val="46E85179"/>
    <w:rsid w:val="46E902AF"/>
    <w:rsid w:val="47285078"/>
    <w:rsid w:val="47314C2C"/>
    <w:rsid w:val="473C5ACD"/>
    <w:rsid w:val="47495EAA"/>
    <w:rsid w:val="475A3163"/>
    <w:rsid w:val="477C0DDF"/>
    <w:rsid w:val="478A587F"/>
    <w:rsid w:val="478E13B9"/>
    <w:rsid w:val="47A55E48"/>
    <w:rsid w:val="47D94127"/>
    <w:rsid w:val="47DD2CF1"/>
    <w:rsid w:val="47DE1ABA"/>
    <w:rsid w:val="47FD41EF"/>
    <w:rsid w:val="485126A4"/>
    <w:rsid w:val="486A5774"/>
    <w:rsid w:val="486E6D6C"/>
    <w:rsid w:val="489C343B"/>
    <w:rsid w:val="48A97A09"/>
    <w:rsid w:val="48D7640C"/>
    <w:rsid w:val="48F204ED"/>
    <w:rsid w:val="48F96011"/>
    <w:rsid w:val="49402A30"/>
    <w:rsid w:val="494A6F55"/>
    <w:rsid w:val="494D7EAD"/>
    <w:rsid w:val="49547CE6"/>
    <w:rsid w:val="49811036"/>
    <w:rsid w:val="49C03A86"/>
    <w:rsid w:val="49C2198E"/>
    <w:rsid w:val="4A520C46"/>
    <w:rsid w:val="4AB3348C"/>
    <w:rsid w:val="4AC10A69"/>
    <w:rsid w:val="4AC24D5B"/>
    <w:rsid w:val="4AC551CC"/>
    <w:rsid w:val="4AC73C0D"/>
    <w:rsid w:val="4AC81A00"/>
    <w:rsid w:val="4ADB14B1"/>
    <w:rsid w:val="4AE734C0"/>
    <w:rsid w:val="4AF66664"/>
    <w:rsid w:val="4B1023C7"/>
    <w:rsid w:val="4B150869"/>
    <w:rsid w:val="4B1C459C"/>
    <w:rsid w:val="4B1C5136"/>
    <w:rsid w:val="4B317529"/>
    <w:rsid w:val="4B5914E1"/>
    <w:rsid w:val="4B755911"/>
    <w:rsid w:val="4B7B7E24"/>
    <w:rsid w:val="4BDA32D5"/>
    <w:rsid w:val="4C0300DB"/>
    <w:rsid w:val="4C0C4E0A"/>
    <w:rsid w:val="4C19131B"/>
    <w:rsid w:val="4C567D16"/>
    <w:rsid w:val="4C6D3F14"/>
    <w:rsid w:val="4C8B7C9C"/>
    <w:rsid w:val="4C9579AC"/>
    <w:rsid w:val="4C9863FE"/>
    <w:rsid w:val="4C9F44E5"/>
    <w:rsid w:val="4CB32539"/>
    <w:rsid w:val="4CB97474"/>
    <w:rsid w:val="4CC477B0"/>
    <w:rsid w:val="4D275737"/>
    <w:rsid w:val="4D375148"/>
    <w:rsid w:val="4D527F42"/>
    <w:rsid w:val="4DC8085E"/>
    <w:rsid w:val="4DEC22A4"/>
    <w:rsid w:val="4E090BC4"/>
    <w:rsid w:val="4E11610D"/>
    <w:rsid w:val="4E5A43D2"/>
    <w:rsid w:val="4E6D132E"/>
    <w:rsid w:val="4E701537"/>
    <w:rsid w:val="4E874143"/>
    <w:rsid w:val="4E9F34F9"/>
    <w:rsid w:val="4EDC4F03"/>
    <w:rsid w:val="4EE235E9"/>
    <w:rsid w:val="4EEF2262"/>
    <w:rsid w:val="4EF30FCD"/>
    <w:rsid w:val="4F4E00CE"/>
    <w:rsid w:val="4F51052A"/>
    <w:rsid w:val="4F561F5C"/>
    <w:rsid w:val="4F5970A3"/>
    <w:rsid w:val="4F7518EA"/>
    <w:rsid w:val="4F7B0EEE"/>
    <w:rsid w:val="4F8D0187"/>
    <w:rsid w:val="4FA2236E"/>
    <w:rsid w:val="4FAD4EBD"/>
    <w:rsid w:val="4FB55C16"/>
    <w:rsid w:val="4FDA7936"/>
    <w:rsid w:val="4FFE17F7"/>
    <w:rsid w:val="5032129D"/>
    <w:rsid w:val="50344009"/>
    <w:rsid w:val="503460F4"/>
    <w:rsid w:val="504B5683"/>
    <w:rsid w:val="50587ABC"/>
    <w:rsid w:val="508530DD"/>
    <w:rsid w:val="508F07DF"/>
    <w:rsid w:val="509D2B85"/>
    <w:rsid w:val="50AB7A58"/>
    <w:rsid w:val="50C25EA5"/>
    <w:rsid w:val="50D67B3D"/>
    <w:rsid w:val="50FE01A1"/>
    <w:rsid w:val="51226A01"/>
    <w:rsid w:val="514A1922"/>
    <w:rsid w:val="514E3AB4"/>
    <w:rsid w:val="516D32CD"/>
    <w:rsid w:val="5180327A"/>
    <w:rsid w:val="518B5AF1"/>
    <w:rsid w:val="51AD65E1"/>
    <w:rsid w:val="51B86FC2"/>
    <w:rsid w:val="51EA1EFA"/>
    <w:rsid w:val="52005DF5"/>
    <w:rsid w:val="523831BE"/>
    <w:rsid w:val="525357DA"/>
    <w:rsid w:val="526B5236"/>
    <w:rsid w:val="527B15B8"/>
    <w:rsid w:val="5283117D"/>
    <w:rsid w:val="52C05821"/>
    <w:rsid w:val="52D93009"/>
    <w:rsid w:val="531306E1"/>
    <w:rsid w:val="5316021A"/>
    <w:rsid w:val="53160688"/>
    <w:rsid w:val="533908C4"/>
    <w:rsid w:val="53620C73"/>
    <w:rsid w:val="537D351A"/>
    <w:rsid w:val="53802BB4"/>
    <w:rsid w:val="5390742F"/>
    <w:rsid w:val="53A01213"/>
    <w:rsid w:val="53A858DA"/>
    <w:rsid w:val="53C43030"/>
    <w:rsid w:val="53D301B2"/>
    <w:rsid w:val="5402158D"/>
    <w:rsid w:val="54230998"/>
    <w:rsid w:val="54591A3E"/>
    <w:rsid w:val="546D7E29"/>
    <w:rsid w:val="54706918"/>
    <w:rsid w:val="54BF34AA"/>
    <w:rsid w:val="54CB55C1"/>
    <w:rsid w:val="54D8254D"/>
    <w:rsid w:val="5506020E"/>
    <w:rsid w:val="551601B5"/>
    <w:rsid w:val="5522002B"/>
    <w:rsid w:val="55320F63"/>
    <w:rsid w:val="554D63EB"/>
    <w:rsid w:val="55652F0E"/>
    <w:rsid w:val="558059D3"/>
    <w:rsid w:val="559D227F"/>
    <w:rsid w:val="559D37B8"/>
    <w:rsid w:val="55A976D6"/>
    <w:rsid w:val="55B11020"/>
    <w:rsid w:val="55C36B8B"/>
    <w:rsid w:val="55CD3D26"/>
    <w:rsid w:val="55E90C4B"/>
    <w:rsid w:val="563317CA"/>
    <w:rsid w:val="56802525"/>
    <w:rsid w:val="568F36DA"/>
    <w:rsid w:val="56D07943"/>
    <w:rsid w:val="56FB1D92"/>
    <w:rsid w:val="57074497"/>
    <w:rsid w:val="57163979"/>
    <w:rsid w:val="57334905"/>
    <w:rsid w:val="5783278C"/>
    <w:rsid w:val="579557A1"/>
    <w:rsid w:val="57A557E8"/>
    <w:rsid w:val="57C570F4"/>
    <w:rsid w:val="57E502DB"/>
    <w:rsid w:val="57FB2299"/>
    <w:rsid w:val="57FD1F19"/>
    <w:rsid w:val="58061D2E"/>
    <w:rsid w:val="581C679D"/>
    <w:rsid w:val="587F7646"/>
    <w:rsid w:val="588C3A7D"/>
    <w:rsid w:val="58BA4BCE"/>
    <w:rsid w:val="58E454ED"/>
    <w:rsid w:val="592A2449"/>
    <w:rsid w:val="593A2531"/>
    <w:rsid w:val="59542E53"/>
    <w:rsid w:val="596822E0"/>
    <w:rsid w:val="59950777"/>
    <w:rsid w:val="59A066AC"/>
    <w:rsid w:val="59E2309B"/>
    <w:rsid w:val="59E7601A"/>
    <w:rsid w:val="59EE692D"/>
    <w:rsid w:val="5A0233C6"/>
    <w:rsid w:val="5A3E6EFE"/>
    <w:rsid w:val="5A580354"/>
    <w:rsid w:val="5A61558F"/>
    <w:rsid w:val="5A707A73"/>
    <w:rsid w:val="5A7553F1"/>
    <w:rsid w:val="5AB06FD6"/>
    <w:rsid w:val="5AEA6B5D"/>
    <w:rsid w:val="5B150394"/>
    <w:rsid w:val="5B153D6E"/>
    <w:rsid w:val="5B3E78EB"/>
    <w:rsid w:val="5B721C4F"/>
    <w:rsid w:val="5B8B0DB5"/>
    <w:rsid w:val="5BB5586F"/>
    <w:rsid w:val="5BBF7025"/>
    <w:rsid w:val="5C1E5303"/>
    <w:rsid w:val="5C275A11"/>
    <w:rsid w:val="5C30594D"/>
    <w:rsid w:val="5C5C6E53"/>
    <w:rsid w:val="5C7954A2"/>
    <w:rsid w:val="5C7A4675"/>
    <w:rsid w:val="5C8D39BC"/>
    <w:rsid w:val="5CC04B3A"/>
    <w:rsid w:val="5D0B00C3"/>
    <w:rsid w:val="5D345661"/>
    <w:rsid w:val="5D364785"/>
    <w:rsid w:val="5D3A19F9"/>
    <w:rsid w:val="5D6503EF"/>
    <w:rsid w:val="5D8F1413"/>
    <w:rsid w:val="5DAF7AE4"/>
    <w:rsid w:val="5DCC527D"/>
    <w:rsid w:val="5DD03D84"/>
    <w:rsid w:val="5DDD3531"/>
    <w:rsid w:val="5DF420C1"/>
    <w:rsid w:val="5E0A08D6"/>
    <w:rsid w:val="5E515B8E"/>
    <w:rsid w:val="5E841ED6"/>
    <w:rsid w:val="5EA71D00"/>
    <w:rsid w:val="5ED56ACA"/>
    <w:rsid w:val="5EE142E9"/>
    <w:rsid w:val="5EE36FBD"/>
    <w:rsid w:val="5EF251EC"/>
    <w:rsid w:val="5EF42BD3"/>
    <w:rsid w:val="5F5600A4"/>
    <w:rsid w:val="5F6B1B7E"/>
    <w:rsid w:val="5F6F737B"/>
    <w:rsid w:val="5F921C05"/>
    <w:rsid w:val="5FA10F8B"/>
    <w:rsid w:val="5FDC5CD8"/>
    <w:rsid w:val="5FDE3A8F"/>
    <w:rsid w:val="5FE1493E"/>
    <w:rsid w:val="5FEA7D3A"/>
    <w:rsid w:val="6002726D"/>
    <w:rsid w:val="60054E76"/>
    <w:rsid w:val="602847D7"/>
    <w:rsid w:val="6055064C"/>
    <w:rsid w:val="605A31E7"/>
    <w:rsid w:val="605A6855"/>
    <w:rsid w:val="60770BB9"/>
    <w:rsid w:val="60810A04"/>
    <w:rsid w:val="60C37A59"/>
    <w:rsid w:val="60C556F5"/>
    <w:rsid w:val="60D8319D"/>
    <w:rsid w:val="60F62E54"/>
    <w:rsid w:val="61492928"/>
    <w:rsid w:val="6180335C"/>
    <w:rsid w:val="61A765B4"/>
    <w:rsid w:val="61AA3FA0"/>
    <w:rsid w:val="61EE607F"/>
    <w:rsid w:val="62422159"/>
    <w:rsid w:val="624D0413"/>
    <w:rsid w:val="62662018"/>
    <w:rsid w:val="62685D90"/>
    <w:rsid w:val="626C7429"/>
    <w:rsid w:val="62861C80"/>
    <w:rsid w:val="628D2368"/>
    <w:rsid w:val="628E3B50"/>
    <w:rsid w:val="62CA7E5E"/>
    <w:rsid w:val="62D741BD"/>
    <w:rsid w:val="62E13A65"/>
    <w:rsid w:val="62EA0567"/>
    <w:rsid w:val="63107DD9"/>
    <w:rsid w:val="63116428"/>
    <w:rsid w:val="633340D7"/>
    <w:rsid w:val="633A1D4A"/>
    <w:rsid w:val="63436BE6"/>
    <w:rsid w:val="63587068"/>
    <w:rsid w:val="635A4FDC"/>
    <w:rsid w:val="635E704E"/>
    <w:rsid w:val="636510FA"/>
    <w:rsid w:val="6367784A"/>
    <w:rsid w:val="63D2171F"/>
    <w:rsid w:val="63DC2A9A"/>
    <w:rsid w:val="640049E4"/>
    <w:rsid w:val="644965AE"/>
    <w:rsid w:val="646F6F26"/>
    <w:rsid w:val="648D3892"/>
    <w:rsid w:val="64A210FA"/>
    <w:rsid w:val="64AE6EAF"/>
    <w:rsid w:val="64D039AE"/>
    <w:rsid w:val="64E20898"/>
    <w:rsid w:val="651F15C2"/>
    <w:rsid w:val="65301313"/>
    <w:rsid w:val="65347794"/>
    <w:rsid w:val="653E05DF"/>
    <w:rsid w:val="655214AD"/>
    <w:rsid w:val="65707181"/>
    <w:rsid w:val="65717652"/>
    <w:rsid w:val="657C386F"/>
    <w:rsid w:val="65823C16"/>
    <w:rsid w:val="65AE61B0"/>
    <w:rsid w:val="66434B4A"/>
    <w:rsid w:val="664538E2"/>
    <w:rsid w:val="66A11EA9"/>
    <w:rsid w:val="66A3383B"/>
    <w:rsid w:val="66A55338"/>
    <w:rsid w:val="66CB7ADA"/>
    <w:rsid w:val="66D17C14"/>
    <w:rsid w:val="66F43BB1"/>
    <w:rsid w:val="6703077D"/>
    <w:rsid w:val="671017C2"/>
    <w:rsid w:val="6748092C"/>
    <w:rsid w:val="676B36CD"/>
    <w:rsid w:val="677A5812"/>
    <w:rsid w:val="678D3C6B"/>
    <w:rsid w:val="679F763B"/>
    <w:rsid w:val="67E042BC"/>
    <w:rsid w:val="67EC6F33"/>
    <w:rsid w:val="68452951"/>
    <w:rsid w:val="68654D58"/>
    <w:rsid w:val="68700A6F"/>
    <w:rsid w:val="687F3E33"/>
    <w:rsid w:val="68B0641F"/>
    <w:rsid w:val="68B977C3"/>
    <w:rsid w:val="68EB4E84"/>
    <w:rsid w:val="68F47170"/>
    <w:rsid w:val="6967438E"/>
    <w:rsid w:val="69763C84"/>
    <w:rsid w:val="699479E7"/>
    <w:rsid w:val="69A516FB"/>
    <w:rsid w:val="69C65F99"/>
    <w:rsid w:val="6A23463F"/>
    <w:rsid w:val="6A2D358B"/>
    <w:rsid w:val="6A562D3C"/>
    <w:rsid w:val="6A582825"/>
    <w:rsid w:val="6A5963AA"/>
    <w:rsid w:val="6A5E1D23"/>
    <w:rsid w:val="6A9D321B"/>
    <w:rsid w:val="6AB51213"/>
    <w:rsid w:val="6AC30B12"/>
    <w:rsid w:val="6ACA445D"/>
    <w:rsid w:val="6ACC7D4C"/>
    <w:rsid w:val="6B1F2D66"/>
    <w:rsid w:val="6B233D26"/>
    <w:rsid w:val="6B2374F7"/>
    <w:rsid w:val="6B3526BD"/>
    <w:rsid w:val="6B373EC9"/>
    <w:rsid w:val="6B6616A1"/>
    <w:rsid w:val="6B694EAF"/>
    <w:rsid w:val="6B7325B8"/>
    <w:rsid w:val="6B972BD0"/>
    <w:rsid w:val="6B986D15"/>
    <w:rsid w:val="6BAF2341"/>
    <w:rsid w:val="6BF82838"/>
    <w:rsid w:val="6C526FF4"/>
    <w:rsid w:val="6C5A00B7"/>
    <w:rsid w:val="6C5A499B"/>
    <w:rsid w:val="6C7B034E"/>
    <w:rsid w:val="6C9E51AC"/>
    <w:rsid w:val="6C9F4838"/>
    <w:rsid w:val="6CAA62CC"/>
    <w:rsid w:val="6CF94F79"/>
    <w:rsid w:val="6D1A2FB1"/>
    <w:rsid w:val="6D2857CE"/>
    <w:rsid w:val="6D2B64A4"/>
    <w:rsid w:val="6D333B82"/>
    <w:rsid w:val="6D392803"/>
    <w:rsid w:val="6D4A32B8"/>
    <w:rsid w:val="6DE83F4F"/>
    <w:rsid w:val="6DEA1DFC"/>
    <w:rsid w:val="6E2C7F03"/>
    <w:rsid w:val="6E33540C"/>
    <w:rsid w:val="6E8527E7"/>
    <w:rsid w:val="6E884577"/>
    <w:rsid w:val="6E8F6FA0"/>
    <w:rsid w:val="6E944E3C"/>
    <w:rsid w:val="6EAE543F"/>
    <w:rsid w:val="6EC0718D"/>
    <w:rsid w:val="6EDB571F"/>
    <w:rsid w:val="6EDE7666"/>
    <w:rsid w:val="6EE11C08"/>
    <w:rsid w:val="6EE334C1"/>
    <w:rsid w:val="6EE90D2F"/>
    <w:rsid w:val="6EF34899"/>
    <w:rsid w:val="6F197117"/>
    <w:rsid w:val="6F4D4677"/>
    <w:rsid w:val="6F6E234C"/>
    <w:rsid w:val="6F75201A"/>
    <w:rsid w:val="6F8C19A8"/>
    <w:rsid w:val="6FAD0E09"/>
    <w:rsid w:val="700D7FF6"/>
    <w:rsid w:val="704D59DB"/>
    <w:rsid w:val="70594467"/>
    <w:rsid w:val="70824D75"/>
    <w:rsid w:val="70A400BB"/>
    <w:rsid w:val="70AE0171"/>
    <w:rsid w:val="70B72D04"/>
    <w:rsid w:val="70C37C92"/>
    <w:rsid w:val="71836742"/>
    <w:rsid w:val="71842497"/>
    <w:rsid w:val="71A554B1"/>
    <w:rsid w:val="71AC33B7"/>
    <w:rsid w:val="71C715FB"/>
    <w:rsid w:val="71EE50E0"/>
    <w:rsid w:val="71F91D06"/>
    <w:rsid w:val="71FC5B43"/>
    <w:rsid w:val="722C4FF1"/>
    <w:rsid w:val="723823CB"/>
    <w:rsid w:val="724C73D2"/>
    <w:rsid w:val="725F5C40"/>
    <w:rsid w:val="72610B2E"/>
    <w:rsid w:val="72850482"/>
    <w:rsid w:val="72BE01CB"/>
    <w:rsid w:val="730438B3"/>
    <w:rsid w:val="730D6E7D"/>
    <w:rsid w:val="732B0D9B"/>
    <w:rsid w:val="73500744"/>
    <w:rsid w:val="739D1513"/>
    <w:rsid w:val="73BF462C"/>
    <w:rsid w:val="73DB394C"/>
    <w:rsid w:val="740E4C84"/>
    <w:rsid w:val="74272E5C"/>
    <w:rsid w:val="74293A23"/>
    <w:rsid w:val="74602711"/>
    <w:rsid w:val="74803FEF"/>
    <w:rsid w:val="7506333B"/>
    <w:rsid w:val="7516333D"/>
    <w:rsid w:val="751D1369"/>
    <w:rsid w:val="753018AE"/>
    <w:rsid w:val="7530485E"/>
    <w:rsid w:val="75377AE8"/>
    <w:rsid w:val="754B0964"/>
    <w:rsid w:val="758020C3"/>
    <w:rsid w:val="75865BD2"/>
    <w:rsid w:val="75AE4E38"/>
    <w:rsid w:val="75C44418"/>
    <w:rsid w:val="75FC1984"/>
    <w:rsid w:val="75FD281A"/>
    <w:rsid w:val="762519A6"/>
    <w:rsid w:val="76511D2E"/>
    <w:rsid w:val="766F0E8B"/>
    <w:rsid w:val="76702C96"/>
    <w:rsid w:val="76963F1F"/>
    <w:rsid w:val="76A34419"/>
    <w:rsid w:val="76B5799B"/>
    <w:rsid w:val="76CC2868"/>
    <w:rsid w:val="76D650C2"/>
    <w:rsid w:val="76ED4191"/>
    <w:rsid w:val="76F34E45"/>
    <w:rsid w:val="7740712E"/>
    <w:rsid w:val="77852694"/>
    <w:rsid w:val="77880413"/>
    <w:rsid w:val="77B05DB7"/>
    <w:rsid w:val="77F535EF"/>
    <w:rsid w:val="781A1008"/>
    <w:rsid w:val="78342053"/>
    <w:rsid w:val="783F0FBE"/>
    <w:rsid w:val="7844126F"/>
    <w:rsid w:val="78C00515"/>
    <w:rsid w:val="78C26BC5"/>
    <w:rsid w:val="78D6184E"/>
    <w:rsid w:val="78F56E93"/>
    <w:rsid w:val="78F70CF8"/>
    <w:rsid w:val="792D32CD"/>
    <w:rsid w:val="7946166B"/>
    <w:rsid w:val="794E10C5"/>
    <w:rsid w:val="795B02FA"/>
    <w:rsid w:val="79872D70"/>
    <w:rsid w:val="79A04937"/>
    <w:rsid w:val="79C70847"/>
    <w:rsid w:val="79D7077C"/>
    <w:rsid w:val="79E941E4"/>
    <w:rsid w:val="79EF5AE4"/>
    <w:rsid w:val="79FD259E"/>
    <w:rsid w:val="7A094668"/>
    <w:rsid w:val="7A1650A3"/>
    <w:rsid w:val="7A2979CC"/>
    <w:rsid w:val="7A7915D7"/>
    <w:rsid w:val="7A8377B3"/>
    <w:rsid w:val="7AC118CC"/>
    <w:rsid w:val="7B1D3267"/>
    <w:rsid w:val="7B276ED9"/>
    <w:rsid w:val="7B2A568C"/>
    <w:rsid w:val="7B2C16A3"/>
    <w:rsid w:val="7B6A2286"/>
    <w:rsid w:val="7B6D5C97"/>
    <w:rsid w:val="7B943D88"/>
    <w:rsid w:val="7C25476F"/>
    <w:rsid w:val="7C4720E8"/>
    <w:rsid w:val="7C8A4FDD"/>
    <w:rsid w:val="7CB60604"/>
    <w:rsid w:val="7CCA0E00"/>
    <w:rsid w:val="7CDF0328"/>
    <w:rsid w:val="7CF77E6E"/>
    <w:rsid w:val="7D6C3E38"/>
    <w:rsid w:val="7D9D63C7"/>
    <w:rsid w:val="7DCC61B7"/>
    <w:rsid w:val="7DF31122"/>
    <w:rsid w:val="7E327BA8"/>
    <w:rsid w:val="7E4B6E7A"/>
    <w:rsid w:val="7E81225C"/>
    <w:rsid w:val="7ED715FD"/>
    <w:rsid w:val="7EF64983"/>
    <w:rsid w:val="7EFD34BC"/>
    <w:rsid w:val="7F0519BD"/>
    <w:rsid w:val="7F1B2DF0"/>
    <w:rsid w:val="7F1C799B"/>
    <w:rsid w:val="7F24708E"/>
    <w:rsid w:val="7F34372E"/>
    <w:rsid w:val="7F3C7FBC"/>
    <w:rsid w:val="7FA65A11"/>
    <w:rsid w:val="7FBC6613"/>
    <w:rsid w:val="7FBF3BC3"/>
    <w:rsid w:val="7FC738DC"/>
    <w:rsid w:val="7FDB0C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3">
    <w:name w:val="heading 1"/>
    <w:basedOn w:val="1"/>
    <w:next w:val="1"/>
    <w:link w:val="48"/>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5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55"/>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25">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semiHidden/>
    <w:unhideWhenUsed/>
    <w:uiPriority w:val="99"/>
    <w:rPr>
      <w:rFonts w:ascii="宋体" w:hAnsi="Courier New"/>
    </w:rPr>
  </w:style>
  <w:style w:type="paragraph" w:styleId="6">
    <w:name w:val="annotation subject"/>
    <w:basedOn w:val="7"/>
    <w:next w:val="7"/>
    <w:link w:val="50"/>
    <w:semiHidden/>
    <w:unhideWhenUsed/>
    <w:qFormat/>
    <w:uiPriority w:val="99"/>
    <w:rPr>
      <w:b/>
      <w:bCs/>
    </w:rPr>
  </w:style>
  <w:style w:type="paragraph" w:styleId="7">
    <w:name w:val="annotation text"/>
    <w:basedOn w:val="1"/>
    <w:link w:val="49"/>
    <w:semiHidden/>
    <w:unhideWhenUsed/>
    <w:qFormat/>
    <w:uiPriority w:val="99"/>
  </w:style>
  <w:style w:type="paragraph" w:styleId="8">
    <w:name w:val="toc 3"/>
    <w:basedOn w:val="1"/>
    <w:next w:val="1"/>
    <w:semiHidden/>
    <w:unhideWhenUsed/>
    <w:qFormat/>
    <w:uiPriority w:val="39"/>
    <w:pPr>
      <w:ind w:left="840" w:leftChars="400"/>
    </w:pPr>
  </w:style>
  <w:style w:type="paragraph" w:styleId="9">
    <w:name w:val="Balloon Text"/>
    <w:basedOn w:val="1"/>
    <w:link w:val="30"/>
    <w:semiHidden/>
    <w:unhideWhenUsed/>
    <w:qFormat/>
    <w:uiPriority w:val="99"/>
    <w:pPr>
      <w:spacing w:after="0"/>
    </w:pPr>
    <w:rPr>
      <w:sz w:val="18"/>
      <w:szCs w:val="18"/>
    </w:rPr>
  </w:style>
  <w:style w:type="paragraph" w:styleId="10">
    <w:name w:val="footer"/>
    <w:basedOn w:val="1"/>
    <w:link w:val="28"/>
    <w:unhideWhenUsed/>
    <w:qFormat/>
    <w:uiPriority w:val="99"/>
    <w:pPr>
      <w:tabs>
        <w:tab w:val="center" w:pos="4153"/>
        <w:tab w:val="right" w:pos="8306"/>
      </w:tabs>
    </w:pPr>
    <w:rPr>
      <w:sz w:val="18"/>
      <w:szCs w:val="18"/>
    </w:rPr>
  </w:style>
  <w:style w:type="paragraph" w:styleId="11">
    <w:name w:val="header"/>
    <w:basedOn w:val="1"/>
    <w:link w:val="27"/>
    <w:unhideWhenUsed/>
    <w:qFormat/>
    <w:uiPriority w:val="99"/>
    <w:pPr>
      <w:pBdr>
        <w:bottom w:val="single" w:color="auto" w:sz="6" w:space="1"/>
      </w:pBdr>
      <w:tabs>
        <w:tab w:val="center" w:pos="4153"/>
        <w:tab w:val="right" w:pos="8306"/>
      </w:tabs>
      <w:jc w:val="center"/>
    </w:pPr>
    <w:rPr>
      <w:sz w:val="18"/>
      <w:szCs w:val="18"/>
    </w:rPr>
  </w:style>
  <w:style w:type="paragraph" w:styleId="12">
    <w:name w:val="toc 1"/>
    <w:basedOn w:val="1"/>
    <w:next w:val="1"/>
    <w:semiHidden/>
    <w:unhideWhenUsed/>
    <w:qFormat/>
    <w:uiPriority w:val="39"/>
  </w:style>
  <w:style w:type="paragraph" w:styleId="13">
    <w:name w:val="Subtitle"/>
    <w:basedOn w:val="1"/>
    <w:next w:val="1"/>
    <w:link w:val="47"/>
    <w:qFormat/>
    <w:uiPriority w:val="11"/>
    <w:pPr>
      <w:spacing w:before="240" w:after="60" w:line="560" w:lineRule="exact"/>
      <w:ind w:firstLine="643" w:firstLineChars="200"/>
      <w:jc w:val="both"/>
      <w:outlineLvl w:val="1"/>
    </w:pPr>
    <w:rPr>
      <w:rFonts w:ascii="楷体" w:hAnsi="楷体" w:eastAsia="楷体" w:cstheme="majorBidi"/>
      <w:b/>
      <w:bCs/>
      <w:kern w:val="28"/>
      <w:sz w:val="32"/>
      <w:szCs w:val="32"/>
    </w:rPr>
  </w:style>
  <w:style w:type="paragraph" w:styleId="14">
    <w:name w:val="footnote text"/>
    <w:basedOn w:val="1"/>
    <w:semiHidden/>
    <w:unhideWhenUsed/>
    <w:qFormat/>
    <w:uiPriority w:val="99"/>
    <w:pPr>
      <w:snapToGrid w:val="0"/>
      <w:jc w:val="left"/>
    </w:pPr>
    <w:rPr>
      <w:sz w:val="18"/>
    </w:rPr>
  </w:style>
  <w:style w:type="paragraph" w:styleId="15">
    <w:name w:val="toc 2"/>
    <w:basedOn w:val="1"/>
    <w:next w:val="1"/>
    <w:semiHidden/>
    <w:unhideWhenUsed/>
    <w:qFormat/>
    <w:uiPriority w:val="39"/>
    <w:pPr>
      <w:ind w:left="420" w:leftChars="200"/>
    </w:pPr>
  </w:style>
  <w:style w:type="paragraph" w:styleId="16">
    <w:name w:val="Normal (Web)"/>
    <w:basedOn w:val="1"/>
    <w:qFormat/>
    <w:uiPriority w:val="99"/>
    <w:pPr>
      <w:adjustRightInd/>
      <w:snapToGrid/>
      <w:spacing w:before="100" w:beforeAutospacing="1" w:after="100" w:afterAutospacing="1"/>
    </w:pPr>
    <w:rPr>
      <w:rFonts w:ascii="宋体" w:hAnsi="宋体" w:eastAsia="宋体" w:cs="宋体"/>
      <w:sz w:val="24"/>
    </w:rPr>
  </w:style>
  <w:style w:type="paragraph" w:styleId="17">
    <w:name w:val="Title"/>
    <w:basedOn w:val="1"/>
    <w:next w:val="1"/>
    <w:link w:val="46"/>
    <w:qFormat/>
    <w:uiPriority w:val="10"/>
    <w:pPr>
      <w:spacing w:before="240" w:after="60"/>
      <w:ind w:firstLine="720" w:firstLineChars="200"/>
      <w:outlineLvl w:val="0"/>
    </w:pPr>
    <w:rPr>
      <w:rFonts w:ascii="黑体" w:hAnsi="黑体" w:eastAsia="黑体" w:cstheme="majorBidi"/>
      <w:sz w:val="36"/>
      <w:szCs w:val="36"/>
    </w:rPr>
  </w:style>
  <w:style w:type="character" w:styleId="19">
    <w:name w:val="Strong"/>
    <w:basedOn w:val="18"/>
    <w:qFormat/>
    <w:uiPriority w:val="0"/>
    <w:rPr>
      <w:b/>
    </w:rPr>
  </w:style>
  <w:style w:type="character" w:styleId="20">
    <w:name w:val="page number"/>
    <w:basedOn w:val="18"/>
    <w:qFormat/>
    <w:uiPriority w:val="0"/>
  </w:style>
  <w:style w:type="character" w:styleId="21">
    <w:name w:val="FollowedHyperlink"/>
    <w:basedOn w:val="18"/>
    <w:semiHidden/>
    <w:unhideWhenUsed/>
    <w:qFormat/>
    <w:uiPriority w:val="99"/>
    <w:rPr>
      <w:color w:val="954F72"/>
      <w:u w:val="single"/>
    </w:rPr>
  </w:style>
  <w:style w:type="character" w:styleId="22">
    <w:name w:val="Hyperlink"/>
    <w:basedOn w:val="18"/>
    <w:semiHidden/>
    <w:unhideWhenUsed/>
    <w:qFormat/>
    <w:uiPriority w:val="99"/>
    <w:rPr>
      <w:color w:val="0563C1"/>
      <w:u w:val="single"/>
    </w:rPr>
  </w:style>
  <w:style w:type="character" w:styleId="23">
    <w:name w:val="annotation reference"/>
    <w:basedOn w:val="18"/>
    <w:semiHidden/>
    <w:unhideWhenUsed/>
    <w:qFormat/>
    <w:uiPriority w:val="99"/>
    <w:rPr>
      <w:sz w:val="21"/>
      <w:szCs w:val="21"/>
    </w:rPr>
  </w:style>
  <w:style w:type="character" w:styleId="24">
    <w:name w:val="footnote reference"/>
    <w:basedOn w:val="18"/>
    <w:semiHidden/>
    <w:unhideWhenUsed/>
    <w:qFormat/>
    <w:uiPriority w:val="99"/>
    <w:rPr>
      <w:vertAlign w:val="superscript"/>
    </w:rPr>
  </w:style>
  <w:style w:type="table" w:styleId="26">
    <w:name w:val="Table Grid"/>
    <w:basedOn w:val="2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7">
    <w:name w:val="页眉 字符"/>
    <w:basedOn w:val="18"/>
    <w:link w:val="11"/>
    <w:qFormat/>
    <w:uiPriority w:val="99"/>
    <w:rPr>
      <w:rFonts w:ascii="Tahoma" w:hAnsi="Tahoma"/>
      <w:sz w:val="18"/>
      <w:szCs w:val="18"/>
    </w:rPr>
  </w:style>
  <w:style w:type="character" w:customStyle="1" w:styleId="28">
    <w:name w:val="页脚 字符"/>
    <w:basedOn w:val="18"/>
    <w:link w:val="10"/>
    <w:qFormat/>
    <w:uiPriority w:val="99"/>
    <w:rPr>
      <w:rFonts w:ascii="Tahoma" w:hAnsi="Tahoma"/>
      <w:sz w:val="18"/>
      <w:szCs w:val="18"/>
    </w:rPr>
  </w:style>
  <w:style w:type="paragraph" w:styleId="29">
    <w:name w:val="List Paragraph"/>
    <w:basedOn w:val="1"/>
    <w:qFormat/>
    <w:uiPriority w:val="34"/>
    <w:pPr>
      <w:ind w:firstLine="420" w:firstLineChars="200"/>
    </w:pPr>
  </w:style>
  <w:style w:type="character" w:customStyle="1" w:styleId="30">
    <w:name w:val="批注框文本 字符"/>
    <w:basedOn w:val="18"/>
    <w:link w:val="9"/>
    <w:semiHidden/>
    <w:qFormat/>
    <w:uiPriority w:val="99"/>
    <w:rPr>
      <w:rFonts w:ascii="Tahoma" w:hAnsi="Tahoma" w:eastAsia="微软雅黑" w:cstheme="minorBidi"/>
      <w:sz w:val="18"/>
      <w:szCs w:val="18"/>
    </w:rPr>
  </w:style>
  <w:style w:type="paragraph" w:customStyle="1" w:styleId="31">
    <w:name w:val="msonormal"/>
    <w:basedOn w:val="1"/>
    <w:qFormat/>
    <w:uiPriority w:val="0"/>
    <w:pPr>
      <w:adjustRightInd/>
      <w:snapToGrid/>
      <w:spacing w:before="100" w:beforeAutospacing="1" w:after="100" w:afterAutospacing="1"/>
    </w:pPr>
    <w:rPr>
      <w:rFonts w:ascii="宋体" w:hAnsi="宋体" w:eastAsia="宋体" w:cs="宋体"/>
      <w:sz w:val="24"/>
      <w:szCs w:val="24"/>
    </w:rPr>
  </w:style>
  <w:style w:type="paragraph" w:customStyle="1" w:styleId="32">
    <w:name w:val="font5"/>
    <w:basedOn w:val="1"/>
    <w:qFormat/>
    <w:uiPriority w:val="0"/>
    <w:pPr>
      <w:adjustRightInd/>
      <w:snapToGrid/>
      <w:spacing w:before="100" w:beforeAutospacing="1" w:after="100" w:afterAutospacing="1"/>
    </w:pPr>
    <w:rPr>
      <w:rFonts w:ascii="宋体" w:hAnsi="宋体" w:eastAsia="宋体" w:cs="宋体"/>
      <w:color w:val="000000"/>
      <w:sz w:val="28"/>
      <w:szCs w:val="28"/>
    </w:rPr>
  </w:style>
  <w:style w:type="paragraph" w:customStyle="1" w:styleId="33">
    <w:name w:val="font6"/>
    <w:basedOn w:val="1"/>
    <w:qFormat/>
    <w:uiPriority w:val="0"/>
    <w:pPr>
      <w:adjustRightInd/>
      <w:snapToGrid/>
      <w:spacing w:before="100" w:beforeAutospacing="1" w:after="100" w:afterAutospacing="1"/>
    </w:pPr>
    <w:rPr>
      <w:rFonts w:ascii="宋体" w:hAnsi="宋体" w:eastAsia="宋体" w:cs="宋体"/>
      <w:color w:val="000000"/>
      <w:sz w:val="24"/>
      <w:szCs w:val="24"/>
    </w:rPr>
  </w:style>
  <w:style w:type="paragraph" w:customStyle="1" w:styleId="34">
    <w:name w:val="font7"/>
    <w:basedOn w:val="1"/>
    <w:qFormat/>
    <w:uiPriority w:val="0"/>
    <w:pPr>
      <w:adjustRightInd/>
      <w:snapToGrid/>
      <w:spacing w:before="100" w:beforeAutospacing="1" w:after="100" w:afterAutospacing="1"/>
    </w:pPr>
    <w:rPr>
      <w:rFonts w:ascii="Calibri" w:hAnsi="Calibri" w:eastAsia="宋体" w:cs="Calibri"/>
      <w:color w:val="000000"/>
      <w:sz w:val="24"/>
      <w:szCs w:val="24"/>
    </w:rPr>
  </w:style>
  <w:style w:type="paragraph" w:customStyle="1" w:styleId="35">
    <w:name w:val="font8"/>
    <w:basedOn w:val="1"/>
    <w:qFormat/>
    <w:uiPriority w:val="0"/>
    <w:pPr>
      <w:adjustRightInd/>
      <w:snapToGrid/>
      <w:spacing w:before="100" w:beforeAutospacing="1" w:after="100" w:afterAutospacing="1"/>
    </w:pPr>
    <w:rPr>
      <w:rFonts w:ascii="宋体" w:hAnsi="宋体" w:eastAsia="宋体" w:cs="宋体"/>
      <w:sz w:val="18"/>
      <w:szCs w:val="18"/>
    </w:rPr>
  </w:style>
  <w:style w:type="paragraph" w:customStyle="1" w:styleId="36">
    <w:name w:val="xl63"/>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pPr>
    <w:rPr>
      <w:rFonts w:ascii="宋体" w:hAnsi="宋体" w:eastAsia="宋体" w:cs="宋体"/>
      <w:sz w:val="28"/>
      <w:szCs w:val="28"/>
    </w:rPr>
  </w:style>
  <w:style w:type="paragraph" w:customStyle="1" w:styleId="37">
    <w:name w:val="xl64"/>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jc w:val="center"/>
    </w:pPr>
    <w:rPr>
      <w:rFonts w:ascii="宋体" w:hAnsi="宋体" w:eastAsia="宋体" w:cs="宋体"/>
      <w:sz w:val="28"/>
      <w:szCs w:val="28"/>
    </w:rPr>
  </w:style>
  <w:style w:type="paragraph" w:customStyle="1" w:styleId="38">
    <w:name w:val="xl65"/>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jc w:val="center"/>
    </w:pPr>
    <w:rPr>
      <w:rFonts w:ascii="宋体" w:hAnsi="宋体" w:eastAsia="宋体" w:cs="宋体"/>
      <w:sz w:val="24"/>
      <w:szCs w:val="24"/>
    </w:rPr>
  </w:style>
  <w:style w:type="paragraph" w:customStyle="1" w:styleId="39">
    <w:name w:val="xl66"/>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pPr>
    <w:rPr>
      <w:rFonts w:ascii="宋体" w:hAnsi="宋体" w:eastAsia="宋体" w:cs="宋体"/>
      <w:sz w:val="24"/>
      <w:szCs w:val="24"/>
    </w:rPr>
  </w:style>
  <w:style w:type="paragraph" w:customStyle="1" w:styleId="40">
    <w:name w:val="xl67"/>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jc w:val="center"/>
    </w:pPr>
    <w:rPr>
      <w:rFonts w:ascii="宋体" w:hAnsi="宋体" w:eastAsia="宋体" w:cs="宋体"/>
      <w:sz w:val="24"/>
      <w:szCs w:val="24"/>
    </w:rPr>
  </w:style>
  <w:style w:type="paragraph" w:customStyle="1" w:styleId="41">
    <w:name w:val="xl68"/>
    <w:basedOn w:val="1"/>
    <w:qFormat/>
    <w:uiPriority w:val="0"/>
    <w:pPr>
      <w:adjustRightInd/>
      <w:snapToGrid/>
      <w:spacing w:before="100" w:beforeAutospacing="1" w:after="100" w:afterAutospacing="1"/>
      <w:jc w:val="center"/>
    </w:pPr>
    <w:rPr>
      <w:rFonts w:ascii="宋体" w:hAnsi="宋体" w:eastAsia="宋体" w:cs="宋体"/>
      <w:sz w:val="24"/>
      <w:szCs w:val="24"/>
    </w:rPr>
  </w:style>
  <w:style w:type="paragraph" w:customStyle="1" w:styleId="42">
    <w:name w:val="xl69"/>
    <w:basedOn w:val="1"/>
    <w:qFormat/>
    <w:uiPriority w:val="0"/>
    <w:pPr>
      <w:adjustRightInd/>
      <w:snapToGrid/>
      <w:spacing w:before="100" w:beforeAutospacing="1" w:after="100" w:afterAutospacing="1"/>
    </w:pPr>
    <w:rPr>
      <w:rFonts w:ascii="宋体" w:hAnsi="宋体" w:eastAsia="宋体" w:cs="宋体"/>
      <w:sz w:val="24"/>
      <w:szCs w:val="24"/>
    </w:rPr>
  </w:style>
  <w:style w:type="paragraph" w:customStyle="1" w:styleId="43">
    <w:name w:val="xl70"/>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pPr>
    <w:rPr>
      <w:rFonts w:ascii="宋体" w:hAnsi="宋体" w:eastAsia="宋体" w:cs="宋体"/>
      <w:sz w:val="24"/>
      <w:szCs w:val="24"/>
    </w:rPr>
  </w:style>
  <w:style w:type="paragraph" w:customStyle="1" w:styleId="44">
    <w:name w:val="xl71"/>
    <w:basedOn w:val="1"/>
    <w:qFormat/>
    <w:uiPriority w:val="0"/>
    <w:pPr>
      <w:adjustRightInd/>
      <w:snapToGrid/>
      <w:spacing w:before="100" w:beforeAutospacing="1" w:after="100" w:afterAutospacing="1"/>
    </w:pPr>
    <w:rPr>
      <w:rFonts w:ascii="宋体" w:hAnsi="宋体" w:eastAsia="宋体" w:cs="宋体"/>
      <w:sz w:val="24"/>
      <w:szCs w:val="24"/>
    </w:rPr>
  </w:style>
  <w:style w:type="paragraph" w:customStyle="1" w:styleId="45">
    <w:name w:val="xl72"/>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jc w:val="center"/>
    </w:pPr>
    <w:rPr>
      <w:rFonts w:ascii="宋体" w:hAnsi="宋体" w:eastAsia="宋体" w:cs="宋体"/>
      <w:sz w:val="24"/>
      <w:szCs w:val="24"/>
    </w:rPr>
  </w:style>
  <w:style w:type="character" w:customStyle="1" w:styleId="46">
    <w:name w:val="标题 字符"/>
    <w:basedOn w:val="18"/>
    <w:link w:val="17"/>
    <w:qFormat/>
    <w:uiPriority w:val="10"/>
    <w:rPr>
      <w:rFonts w:ascii="黑体" w:hAnsi="黑体" w:eastAsia="黑体" w:cstheme="majorBidi"/>
      <w:sz w:val="36"/>
      <w:szCs w:val="36"/>
    </w:rPr>
  </w:style>
  <w:style w:type="character" w:customStyle="1" w:styleId="47">
    <w:name w:val="副标题 字符"/>
    <w:basedOn w:val="18"/>
    <w:link w:val="13"/>
    <w:qFormat/>
    <w:uiPriority w:val="11"/>
    <w:rPr>
      <w:rFonts w:ascii="楷体" w:hAnsi="楷体" w:eastAsia="楷体" w:cstheme="majorBidi"/>
      <w:b/>
      <w:bCs/>
      <w:kern w:val="28"/>
      <w:sz w:val="32"/>
      <w:szCs w:val="32"/>
    </w:rPr>
  </w:style>
  <w:style w:type="character" w:customStyle="1" w:styleId="48">
    <w:name w:val="标题 1 字符"/>
    <w:basedOn w:val="18"/>
    <w:link w:val="3"/>
    <w:qFormat/>
    <w:uiPriority w:val="9"/>
    <w:rPr>
      <w:rFonts w:ascii="Tahoma" w:hAnsi="Tahoma" w:eastAsia="微软雅黑" w:cstheme="minorBidi"/>
      <w:b/>
      <w:bCs/>
      <w:kern w:val="44"/>
      <w:sz w:val="44"/>
      <w:szCs w:val="44"/>
    </w:rPr>
  </w:style>
  <w:style w:type="character" w:customStyle="1" w:styleId="49">
    <w:name w:val="批注文字 字符"/>
    <w:basedOn w:val="18"/>
    <w:link w:val="7"/>
    <w:semiHidden/>
    <w:qFormat/>
    <w:uiPriority w:val="99"/>
    <w:rPr>
      <w:rFonts w:ascii="Tahoma" w:hAnsi="Tahoma" w:eastAsia="微软雅黑" w:cstheme="minorBidi"/>
      <w:sz w:val="22"/>
      <w:szCs w:val="22"/>
    </w:rPr>
  </w:style>
  <w:style w:type="character" w:customStyle="1" w:styleId="50">
    <w:name w:val="批注主题 字符"/>
    <w:basedOn w:val="49"/>
    <w:link w:val="6"/>
    <w:semiHidden/>
    <w:qFormat/>
    <w:uiPriority w:val="99"/>
    <w:rPr>
      <w:rFonts w:ascii="Tahoma" w:hAnsi="Tahoma" w:eastAsia="微软雅黑" w:cstheme="minorBidi"/>
      <w:b/>
      <w:bCs/>
      <w:sz w:val="22"/>
      <w:szCs w:val="22"/>
    </w:rPr>
  </w:style>
  <w:style w:type="paragraph" w:customStyle="1" w:styleId="51">
    <w:name w:val="Char Char2"/>
    <w:basedOn w:val="1"/>
    <w:qFormat/>
    <w:uiPriority w:val="0"/>
    <w:pPr>
      <w:adjustRightInd/>
      <w:snapToGrid/>
      <w:spacing w:after="160" w:line="240" w:lineRule="exact"/>
    </w:pPr>
    <w:rPr>
      <w:rFonts w:ascii="Times New Roman" w:hAnsi="Times New Roman" w:eastAsia="宋体" w:cs="Times New Roman"/>
      <w:kern w:val="2"/>
      <w:sz w:val="21"/>
    </w:rPr>
  </w:style>
  <w:style w:type="character" w:customStyle="1" w:styleId="52">
    <w:name w:val="Subtle Emphasis"/>
    <w:basedOn w:val="18"/>
    <w:qFormat/>
    <w:uiPriority w:val="19"/>
    <w:rPr>
      <w:i/>
      <w:iCs/>
      <w:color w:val="7F7F7F" w:themeColor="text1" w:themeTint="7F"/>
    </w:rPr>
  </w:style>
  <w:style w:type="character" w:customStyle="1" w:styleId="53">
    <w:name w:val="Book Title"/>
    <w:basedOn w:val="18"/>
    <w:qFormat/>
    <w:uiPriority w:val="33"/>
    <w:rPr>
      <w:b/>
      <w:bCs/>
      <w:smallCaps/>
      <w:spacing w:val="5"/>
    </w:rPr>
  </w:style>
  <w:style w:type="character" w:customStyle="1" w:styleId="54">
    <w:name w:val="标题 2 字符"/>
    <w:basedOn w:val="18"/>
    <w:link w:val="4"/>
    <w:qFormat/>
    <w:uiPriority w:val="9"/>
    <w:rPr>
      <w:rFonts w:asciiTheme="majorHAnsi" w:hAnsiTheme="majorHAnsi" w:eastAsiaTheme="majorEastAsia" w:cstheme="majorBidi"/>
      <w:b/>
      <w:bCs/>
      <w:sz w:val="32"/>
      <w:szCs w:val="32"/>
    </w:rPr>
  </w:style>
  <w:style w:type="character" w:customStyle="1" w:styleId="55">
    <w:name w:val="标题 3 字符"/>
    <w:basedOn w:val="18"/>
    <w:link w:val="5"/>
    <w:qFormat/>
    <w:uiPriority w:val="9"/>
    <w:rPr>
      <w:rFonts w:ascii="Tahoma" w:hAnsi="Tahoma" w:eastAsia="微软雅黑" w:cstheme="minorBidi"/>
      <w:b/>
      <w:bCs/>
      <w:sz w:val="32"/>
      <w:szCs w:val="32"/>
    </w:rPr>
  </w:style>
  <w:style w:type="paragraph" w:customStyle="1" w:styleId="56">
    <w:name w:val="Default"/>
    <w:qFormat/>
    <w:uiPriority w:val="0"/>
    <w:pPr>
      <w:widowControl w:val="0"/>
      <w:autoSpaceDE w:val="0"/>
      <w:autoSpaceDN w:val="0"/>
      <w:adjustRightInd w:val="0"/>
    </w:pPr>
    <w:rPr>
      <w:rFonts w:ascii="楷体_GB2312" w:hAnsi="Times New Roman" w:eastAsia="楷体_GB2312" w:cs="楷体_GB2312"/>
      <w:color w:val="000000"/>
      <w:sz w:val="24"/>
      <w:szCs w:val="24"/>
      <w:lang w:val="en-US" w:eastAsia="zh-CN" w:bidi="ar-SA"/>
    </w:rPr>
  </w:style>
  <w:style w:type="paragraph" w:customStyle="1" w:styleId="57">
    <w:name w:val="Char Char21"/>
    <w:basedOn w:val="1"/>
    <w:qFormat/>
    <w:uiPriority w:val="0"/>
    <w:pPr>
      <w:adjustRightInd/>
      <w:snapToGrid/>
      <w:spacing w:after="160" w:line="240" w:lineRule="exact"/>
    </w:pPr>
    <w:rPr>
      <w:rFonts w:ascii="Times New Roman" w:hAnsi="Times New Roman" w:eastAsia="宋体" w:cs="Times New Roman"/>
      <w:kern w:val="2"/>
      <w:sz w:val="21"/>
    </w:rPr>
  </w:style>
  <w:style w:type="paragraph" w:customStyle="1" w:styleId="58">
    <w:name w:val="WPSOffice手动目录 1"/>
    <w:qFormat/>
    <w:uiPriority w:val="0"/>
    <w:pPr>
      <w:ind w:leftChars="0"/>
    </w:pPr>
    <w:rPr>
      <w:rFonts w:ascii="Times New Roman" w:hAnsi="Times New Roman" w:eastAsia="宋体" w:cs="Times New Roman"/>
      <w:sz w:val="20"/>
      <w:szCs w:val="20"/>
    </w:rPr>
  </w:style>
  <w:style w:type="paragraph" w:customStyle="1" w:styleId="59">
    <w:name w:val="WPSOffice手动目录 2"/>
    <w:qFormat/>
    <w:uiPriority w:val="0"/>
    <w:pPr>
      <w:ind w:leftChars="200"/>
    </w:pPr>
    <w:rPr>
      <w:rFonts w:ascii="Times New Roman" w:hAnsi="Times New Roman" w:eastAsia="宋体" w:cs="Times New Roman"/>
      <w:sz w:val="20"/>
      <w:szCs w:val="20"/>
    </w:rPr>
  </w:style>
  <w:style w:type="paragraph" w:customStyle="1" w:styleId="60">
    <w:name w:val="Other|1"/>
    <w:basedOn w:val="1"/>
    <w:qFormat/>
    <w:uiPriority w:val="0"/>
    <w:pPr>
      <w:widowControl w:val="0"/>
      <w:shd w:val="clear" w:color="auto" w:fill="auto"/>
      <w:spacing w:after="180" w:line="425" w:lineRule="auto"/>
    </w:pPr>
    <w:rPr>
      <w:rFonts w:ascii="宋体" w:hAnsi="宋体" w:eastAsia="宋体" w:cs="宋体"/>
      <w:sz w:val="30"/>
      <w:szCs w:val="30"/>
      <w:u w:val="none"/>
      <w:shd w:val="clear" w:color="auto" w:fill="auto"/>
      <w:lang w:val="zh-TW" w:eastAsia="zh-TW" w:bidi="zh-TW"/>
    </w:rPr>
  </w:style>
  <w:style w:type="paragraph" w:customStyle="1" w:styleId="61">
    <w:name w:val="Body text|3"/>
    <w:basedOn w:val="1"/>
    <w:qFormat/>
    <w:uiPriority w:val="0"/>
    <w:pPr>
      <w:widowControl w:val="0"/>
      <w:shd w:val="clear" w:color="auto" w:fill="auto"/>
    </w:pPr>
    <w:rPr>
      <w:rFonts w:ascii="宋体" w:hAnsi="宋体" w:eastAsia="宋体" w:cs="宋体"/>
      <w:b/>
      <w:bCs/>
      <w:sz w:val="22"/>
      <w:szCs w:val="22"/>
      <w:u w:val="none"/>
      <w:shd w:val="clear" w:color="auto" w:fill="auto"/>
      <w:lang w:val="zh-TW" w:eastAsia="zh-TW" w:bidi="zh-TW"/>
    </w:rPr>
  </w:style>
  <w:style w:type="paragraph" w:customStyle="1" w:styleId="62">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C1F04B-C273-4276-AF4E-E7C4CF2339C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1627</Words>
  <Characters>9280</Characters>
  <Lines>77</Lines>
  <Paragraphs>21</Paragraphs>
  <TotalTime>26</TotalTime>
  <ScaleCrop>false</ScaleCrop>
  <LinksUpToDate>false</LinksUpToDate>
  <CharactersWithSpaces>10886</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2020-08-07T01:42:00Z</dcterms:created>
  <dc:creator>Administrator</dc:creator>
  <cp:lastModifiedBy>Orchis</cp:lastModifiedBy>
  <cp:lastPrinted>2021-08-12T01:14:00Z</cp:lastPrinted>
  <dcterms:modified xsi:type="dcterms:W3CDTF">2021-12-12T13:28:53Z</dcterms:modified>
  <cp:revision>874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y fmtid="{D5CDD505-2E9C-101B-9397-08002B2CF9AE}" pid="3" name="ICV">
    <vt:lpwstr>757B39C20D1B4BD490FB42D9DB522365</vt:lpwstr>
  </property>
</Properties>
</file>