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宋体"/>
          <w:kern w:val="0"/>
          <w:sz w:val="24"/>
        </w:rPr>
      </w:pPr>
    </w:p>
    <w:p>
      <w:pPr>
        <w:widowControl/>
        <w:spacing w:line="560" w:lineRule="exact"/>
        <w:jc w:val="left"/>
        <w:rPr>
          <w:rFonts w:eastAsia="宋体"/>
          <w:kern w:val="0"/>
          <w:sz w:val="24"/>
        </w:rPr>
      </w:pPr>
    </w:p>
    <w:p>
      <w:pPr>
        <w:widowControl/>
        <w:spacing w:line="560" w:lineRule="exact"/>
        <w:jc w:val="left"/>
        <w:rPr>
          <w:rFonts w:eastAsia="宋体"/>
          <w:kern w:val="0"/>
          <w:sz w:val="24"/>
        </w:rPr>
      </w:pPr>
    </w:p>
    <w:p>
      <w:pPr>
        <w:widowControl/>
        <w:tabs>
          <w:tab w:val="left" w:pos="3155"/>
        </w:tabs>
        <w:spacing w:line="560" w:lineRule="exact"/>
        <w:jc w:val="center"/>
        <w:rPr>
          <w:rFonts w:eastAsia="华光小标宋_CNKI"/>
          <w:kern w:val="0"/>
          <w:sz w:val="44"/>
          <w:szCs w:val="44"/>
        </w:rPr>
      </w:pPr>
      <w:r>
        <w:rPr>
          <w:rFonts w:eastAsia="华光小标宋_CNKI"/>
          <w:kern w:val="0"/>
          <w:sz w:val="44"/>
          <w:szCs w:val="44"/>
        </w:rPr>
        <w:t>深圳市龙华区财政局</w:t>
      </w:r>
    </w:p>
    <w:p>
      <w:pPr>
        <w:widowControl/>
        <w:tabs>
          <w:tab w:val="left" w:pos="3155"/>
        </w:tabs>
        <w:spacing w:line="560" w:lineRule="exact"/>
        <w:jc w:val="center"/>
        <w:rPr>
          <w:rFonts w:eastAsia="华光小标宋_CNKI"/>
          <w:kern w:val="0"/>
          <w:sz w:val="44"/>
          <w:szCs w:val="44"/>
        </w:rPr>
      </w:pPr>
      <w:r>
        <w:rPr>
          <w:rFonts w:eastAsia="华光小标宋_CNKI"/>
          <w:kern w:val="0"/>
          <w:sz w:val="44"/>
          <w:szCs w:val="44"/>
        </w:rPr>
        <w:t>关于深圳市龙华区住房和建设局</w:t>
      </w:r>
    </w:p>
    <w:p>
      <w:pPr>
        <w:widowControl/>
        <w:spacing w:line="560" w:lineRule="exact"/>
        <w:jc w:val="center"/>
        <w:rPr>
          <w:rFonts w:eastAsia="华光小标宋_CNKI"/>
          <w:kern w:val="0"/>
          <w:sz w:val="44"/>
          <w:szCs w:val="44"/>
        </w:rPr>
      </w:pPr>
      <w:r>
        <w:rPr>
          <w:rFonts w:eastAsia="华光小标宋_CNKI"/>
          <w:kern w:val="0"/>
          <w:sz w:val="44"/>
          <w:szCs w:val="44"/>
        </w:rPr>
        <w:t>2020年人才专项资金-租房补贴项目</w:t>
      </w:r>
    </w:p>
    <w:p>
      <w:pPr>
        <w:widowControl/>
        <w:spacing w:line="560" w:lineRule="exact"/>
        <w:jc w:val="center"/>
        <w:rPr>
          <w:rFonts w:eastAsia="华光小标宋_CNKI"/>
          <w:kern w:val="0"/>
          <w:sz w:val="44"/>
          <w:szCs w:val="44"/>
        </w:rPr>
      </w:pPr>
      <w:r>
        <w:rPr>
          <w:rFonts w:eastAsia="华光小标宋_CNKI"/>
          <w:kern w:val="0"/>
          <w:sz w:val="44"/>
          <w:szCs w:val="44"/>
        </w:rPr>
        <w:t>绩效评价报告</w:t>
      </w:r>
    </w:p>
    <w:p>
      <w:pPr>
        <w:widowControl/>
        <w:spacing w:line="560" w:lineRule="exact"/>
        <w:jc w:val="center"/>
        <w:rPr>
          <w:rFonts w:eastAsia="黑体"/>
          <w:kern w:val="0"/>
          <w:sz w:val="48"/>
          <w:szCs w:val="48"/>
        </w:rPr>
      </w:pPr>
    </w:p>
    <w:p>
      <w:pPr>
        <w:widowControl/>
        <w:spacing w:line="560" w:lineRule="exact"/>
        <w:jc w:val="left"/>
        <w:rPr>
          <w:b/>
          <w:spacing w:val="-20"/>
          <w:kern w:val="0"/>
          <w:sz w:val="32"/>
          <w:szCs w:val="32"/>
        </w:rPr>
      </w:pPr>
    </w:p>
    <w:p>
      <w:pPr>
        <w:widowControl/>
        <w:spacing w:line="560" w:lineRule="exact"/>
        <w:jc w:val="left"/>
        <w:rPr>
          <w:b/>
          <w:spacing w:val="-20"/>
          <w:kern w:val="0"/>
          <w:sz w:val="32"/>
          <w:szCs w:val="32"/>
        </w:rPr>
      </w:pPr>
    </w:p>
    <w:p>
      <w:pPr>
        <w:widowControl/>
        <w:spacing w:line="560" w:lineRule="exact"/>
        <w:jc w:val="left"/>
        <w:rPr>
          <w:b/>
          <w:spacing w:val="-20"/>
          <w:kern w:val="0"/>
          <w:sz w:val="32"/>
          <w:szCs w:val="32"/>
        </w:rPr>
      </w:pPr>
    </w:p>
    <w:p>
      <w:pPr>
        <w:widowControl/>
        <w:spacing w:line="560" w:lineRule="exact"/>
        <w:jc w:val="left"/>
        <w:rPr>
          <w:b/>
          <w:spacing w:val="-20"/>
          <w:kern w:val="0"/>
          <w:sz w:val="32"/>
          <w:szCs w:val="32"/>
        </w:rPr>
      </w:pPr>
    </w:p>
    <w:p>
      <w:pPr>
        <w:widowControl/>
        <w:spacing w:line="560" w:lineRule="exact"/>
        <w:jc w:val="left"/>
        <w:rPr>
          <w:b/>
          <w:spacing w:val="-20"/>
          <w:kern w:val="0"/>
          <w:sz w:val="32"/>
          <w:szCs w:val="32"/>
        </w:rPr>
      </w:pPr>
    </w:p>
    <w:p>
      <w:pPr>
        <w:widowControl/>
        <w:spacing w:line="560" w:lineRule="exact"/>
        <w:jc w:val="left"/>
        <w:rPr>
          <w:b/>
          <w:spacing w:val="-20"/>
          <w:kern w:val="0"/>
          <w:sz w:val="32"/>
          <w:szCs w:val="32"/>
        </w:rPr>
      </w:pPr>
    </w:p>
    <w:p>
      <w:pPr>
        <w:widowControl/>
        <w:spacing w:line="560" w:lineRule="exact"/>
        <w:jc w:val="left"/>
        <w:rPr>
          <w:b/>
          <w:spacing w:val="-20"/>
          <w:kern w:val="0"/>
          <w:sz w:val="32"/>
          <w:szCs w:val="32"/>
        </w:rPr>
      </w:pPr>
    </w:p>
    <w:p>
      <w:pPr>
        <w:widowControl/>
        <w:spacing w:line="560" w:lineRule="exact"/>
        <w:jc w:val="left"/>
        <w:rPr>
          <w:rFonts w:eastAsia="楷体_GB2312"/>
          <w:b/>
          <w:spacing w:val="-20"/>
          <w:kern w:val="0"/>
          <w:sz w:val="32"/>
          <w:szCs w:val="32"/>
        </w:rPr>
      </w:pPr>
    </w:p>
    <w:p>
      <w:pPr>
        <w:widowControl/>
        <w:spacing w:line="560" w:lineRule="exact"/>
        <w:jc w:val="left"/>
        <w:rPr>
          <w:rFonts w:eastAsia="楷体_GB2312"/>
          <w:b/>
          <w:spacing w:val="-20"/>
          <w:kern w:val="0"/>
          <w:sz w:val="32"/>
          <w:szCs w:val="32"/>
        </w:rPr>
      </w:pPr>
    </w:p>
    <w:p>
      <w:pPr>
        <w:widowControl/>
        <w:spacing w:line="560" w:lineRule="exact"/>
        <w:jc w:val="left"/>
        <w:rPr>
          <w:rFonts w:eastAsia="楷体_GB2312"/>
          <w:b/>
          <w:spacing w:val="-20"/>
          <w:kern w:val="0"/>
          <w:sz w:val="32"/>
          <w:szCs w:val="32"/>
        </w:rPr>
      </w:pPr>
    </w:p>
    <w:p>
      <w:pPr>
        <w:widowControl/>
        <w:spacing w:line="560" w:lineRule="exact"/>
        <w:jc w:val="left"/>
        <w:rPr>
          <w:kern w:val="0"/>
          <w:sz w:val="32"/>
          <w:szCs w:val="32"/>
        </w:rPr>
      </w:pPr>
    </w:p>
    <w:p>
      <w:pPr>
        <w:widowControl/>
        <w:spacing w:line="560" w:lineRule="exact"/>
        <w:jc w:val="left"/>
        <w:rPr>
          <w:kern w:val="0"/>
          <w:sz w:val="32"/>
          <w:szCs w:val="32"/>
        </w:rPr>
      </w:pPr>
    </w:p>
    <w:p>
      <w:pPr>
        <w:widowControl/>
        <w:spacing w:line="560" w:lineRule="exact"/>
        <w:jc w:val="left"/>
        <w:rPr>
          <w:kern w:val="0"/>
          <w:sz w:val="32"/>
          <w:szCs w:val="32"/>
        </w:rPr>
      </w:pPr>
    </w:p>
    <w:p>
      <w:pPr>
        <w:widowControl/>
        <w:spacing w:line="560" w:lineRule="exact"/>
        <w:jc w:val="left"/>
        <w:rPr>
          <w:kern w:val="0"/>
          <w:sz w:val="32"/>
          <w:szCs w:val="32"/>
        </w:rPr>
      </w:pPr>
    </w:p>
    <w:p>
      <w:pPr>
        <w:widowControl/>
        <w:spacing w:line="420" w:lineRule="exact"/>
        <w:rPr>
          <w:rFonts w:ascii="仿宋_GB2312" w:hAnsi="仿宋_GB2312" w:cs="仿宋_GB2312"/>
          <w:bCs/>
          <w:sz w:val="24"/>
        </w:rPr>
        <w:sectPr>
          <w:footerReference r:id="rId4" w:type="default"/>
          <w:footerReference r:id="rId5" w:type="even"/>
          <w:pgSz w:w="11906" w:h="16838"/>
          <w:pgMar w:top="2098" w:right="1474" w:bottom="1985" w:left="1588" w:header="737" w:footer="851" w:gutter="0"/>
          <w:pgNumType w:fmt="numberInDash" w:start="1"/>
          <w:cols w:space="720" w:num="1"/>
          <w:docGrid w:type="lines" w:linePitch="408" w:charSpace="0"/>
        </w:sectPr>
      </w:pPr>
      <w:bookmarkStart w:id="0" w:name="_Toc46393498"/>
      <w:bookmarkStart w:id="1" w:name="_Toc45099966"/>
    </w:p>
    <w:p>
      <w:pPr>
        <w:widowControl/>
        <w:snapToGrid w:val="0"/>
        <w:spacing w:line="420" w:lineRule="exact"/>
        <w:ind w:firstLine="480" w:firstLineChars="200"/>
        <w:rPr>
          <w:rFonts w:ascii="仿宋_GB2312" w:hAnsi="仿宋_GB2312" w:cs="仿宋_GB2312"/>
          <w:bCs/>
          <w:sz w:val="24"/>
        </w:rPr>
        <w:sectPr>
          <w:footerReference r:id="rId6" w:type="default"/>
          <w:footerReference r:id="rId7" w:type="even"/>
          <w:type w:val="continuous"/>
          <w:pgSz w:w="11906" w:h="16838"/>
          <w:pgMar w:top="2098" w:right="1474" w:bottom="1985" w:left="1588" w:header="737" w:footer="851" w:gutter="0"/>
          <w:pgNumType w:fmt="numberInDash" w:start="1"/>
          <w:cols w:space="720" w:num="1"/>
          <w:docGrid w:type="lines" w:linePitch="408" w:charSpace="0"/>
        </w:sectPr>
      </w:pPr>
    </w:p>
    <w:p>
      <w:pPr>
        <w:widowControl/>
        <w:snapToGrid w:val="0"/>
        <w:spacing w:line="560" w:lineRule="exact"/>
        <w:ind w:firstLine="640" w:firstLineChars="200"/>
        <w:rPr>
          <w:bCs/>
          <w:sz w:val="32"/>
          <w:szCs w:val="32"/>
        </w:rPr>
      </w:pPr>
      <w:r>
        <w:rPr>
          <w:bCs/>
          <w:sz w:val="32"/>
          <w:szCs w:val="32"/>
        </w:rPr>
        <w:t>为贯彻落实《中共中央国务院关于全面实施预算绩效管理的意见》（中发〔2018〕34号）、《深圳市财政局关于贯彻落实全面实施预算绩效管理有关事项的通知》（深财绩〔2019〕5号）等文件要求，深圳市龙华区财政局（以下简称“区财政局”）组建评价小组，从决策、过程、产出和效益四个维度构建指标体系，坚持绩效导向、问题导向，对项目资金投入、管理及使用绩效进行了综合评价。</w:t>
      </w:r>
    </w:p>
    <w:p>
      <w:pPr>
        <w:keepNext/>
        <w:keepLines/>
        <w:widowControl/>
        <w:spacing w:line="560" w:lineRule="exact"/>
        <w:ind w:firstLine="640" w:firstLineChars="200"/>
        <w:jc w:val="left"/>
        <w:outlineLvl w:val="0"/>
        <w:rPr>
          <w:rFonts w:eastAsia="黑体"/>
          <w:kern w:val="44"/>
          <w:sz w:val="32"/>
          <w:szCs w:val="32"/>
        </w:rPr>
      </w:pPr>
      <w:bookmarkStart w:id="2" w:name="_Toc87369805"/>
      <w:bookmarkStart w:id="3" w:name="_Toc14254"/>
      <w:bookmarkStart w:id="4" w:name="_Toc12105"/>
      <w:bookmarkStart w:id="5" w:name="_Toc24490"/>
      <w:bookmarkStart w:id="6" w:name="_Toc31407"/>
      <w:bookmarkStart w:id="7" w:name="_Toc3872"/>
      <w:bookmarkStart w:id="8" w:name="_Toc58821295"/>
      <w:bookmarkStart w:id="9" w:name="_Toc3272"/>
      <w:bookmarkStart w:id="10" w:name="_Toc88656154"/>
      <w:bookmarkStart w:id="11" w:name="_Toc14697"/>
      <w:bookmarkStart w:id="12" w:name="_Toc29849"/>
      <w:bookmarkStart w:id="13" w:name="_Toc23190"/>
      <w:bookmarkStart w:id="14" w:name="_Toc89775663"/>
      <w:bookmarkStart w:id="15" w:name="_Toc2317"/>
      <w:bookmarkStart w:id="16" w:name="_Toc15169"/>
      <w:bookmarkStart w:id="17" w:name="_Toc16447"/>
      <w:bookmarkStart w:id="18" w:name="_Toc15516"/>
      <w:r>
        <w:rPr>
          <w:rFonts w:eastAsia="黑体"/>
          <w:kern w:val="44"/>
          <w:sz w:val="32"/>
          <w:szCs w:val="32"/>
        </w:rPr>
        <w:t>一、基本情况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pPr>
        <w:keepNext/>
        <w:keepLines/>
        <w:widowControl/>
        <w:spacing w:line="560" w:lineRule="exact"/>
        <w:ind w:firstLine="643" w:firstLineChars="200"/>
        <w:jc w:val="left"/>
        <w:outlineLvl w:val="1"/>
        <w:rPr>
          <w:rFonts w:eastAsia="楷体_GB2312"/>
          <w:b/>
          <w:bCs/>
          <w:kern w:val="0"/>
          <w:sz w:val="32"/>
          <w:szCs w:val="32"/>
        </w:rPr>
      </w:pPr>
      <w:bookmarkStart w:id="19" w:name="_Toc58821296"/>
      <w:bookmarkStart w:id="20" w:name="_Toc28134"/>
      <w:bookmarkStart w:id="21" w:name="_Toc11148"/>
      <w:bookmarkStart w:id="22" w:name="_Toc13047"/>
      <w:bookmarkStart w:id="23" w:name="_Toc3657"/>
      <w:bookmarkStart w:id="24" w:name="_Toc14878"/>
      <w:bookmarkStart w:id="25" w:name="_Toc22523"/>
      <w:bookmarkStart w:id="26" w:name="_Toc87369806"/>
      <w:bookmarkStart w:id="27" w:name="_Toc26461"/>
      <w:bookmarkStart w:id="28" w:name="_Toc12813"/>
      <w:bookmarkStart w:id="29" w:name="_Toc19581"/>
      <w:bookmarkStart w:id="30" w:name="_Toc89775664"/>
      <w:bookmarkStart w:id="31" w:name="_Toc8216"/>
      <w:bookmarkStart w:id="32" w:name="_Toc23683"/>
      <w:bookmarkStart w:id="33" w:name="_Toc4723"/>
      <w:bookmarkStart w:id="34" w:name="_Toc2039"/>
      <w:bookmarkStart w:id="35" w:name="_Toc88656155"/>
      <w:r>
        <w:rPr>
          <w:rFonts w:eastAsia="楷体_GB2312"/>
          <w:b/>
          <w:bCs/>
          <w:kern w:val="0"/>
          <w:sz w:val="32"/>
          <w:szCs w:val="32"/>
        </w:rPr>
        <w:t>（一）项目背景</w:t>
      </w:r>
      <w:bookmarkEnd w:id="19"/>
      <w:r>
        <w:rPr>
          <w:rFonts w:eastAsia="楷体_GB2312"/>
          <w:b/>
          <w:bCs/>
          <w:kern w:val="0"/>
          <w:sz w:val="32"/>
          <w:szCs w:val="32"/>
        </w:rPr>
        <w:t>和主要内容</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pPr>
        <w:pStyle w:val="15"/>
        <w:keepNext w:val="0"/>
        <w:keepLines w:val="0"/>
        <w:spacing w:after="0"/>
        <w:jc w:val="left"/>
        <w:rPr>
          <w:rFonts w:ascii="Times New Roman" w:cs="Times New Roman"/>
          <w:bCs w:val="0"/>
        </w:rPr>
      </w:pPr>
      <w:bookmarkStart w:id="36" w:name="_Toc30362"/>
      <w:bookmarkStart w:id="37" w:name="_Toc13758"/>
      <w:bookmarkStart w:id="38" w:name="_Toc6949"/>
      <w:bookmarkStart w:id="39" w:name="_Toc89764044"/>
      <w:bookmarkStart w:id="40" w:name="_Toc89703514"/>
      <w:bookmarkStart w:id="41" w:name="_Toc6045"/>
      <w:bookmarkStart w:id="42" w:name="_Toc85561059"/>
      <w:bookmarkStart w:id="43" w:name="_Toc27883"/>
      <w:bookmarkStart w:id="44" w:name="_Toc87369807"/>
      <w:bookmarkStart w:id="45" w:name="_Toc89764114"/>
      <w:bookmarkStart w:id="46" w:name="_Toc19199"/>
      <w:bookmarkStart w:id="47" w:name="_Toc89775665"/>
      <w:bookmarkStart w:id="48" w:name="_Toc11098"/>
      <w:bookmarkStart w:id="49" w:name="_Toc5631"/>
      <w:bookmarkStart w:id="50" w:name="_Toc86135423"/>
      <w:bookmarkStart w:id="51" w:name="_Toc14099"/>
      <w:bookmarkStart w:id="52" w:name="_Toc15913"/>
      <w:bookmarkStart w:id="53" w:name="_Toc23347"/>
      <w:bookmarkStart w:id="54" w:name="_Toc8629"/>
      <w:bookmarkStart w:id="55" w:name="_Toc2071"/>
      <w:bookmarkStart w:id="56" w:name="_Toc88656156"/>
      <w:r>
        <w:rPr>
          <w:rFonts w:ascii="Times New Roman" w:cs="Times New Roman"/>
          <w:bCs w:val="0"/>
        </w:rPr>
        <w:t>1.项目背景</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pPr>
        <w:widowControl/>
        <w:snapToGrid w:val="0"/>
        <w:spacing w:line="560" w:lineRule="exact"/>
        <w:ind w:firstLine="643" w:firstLineChars="200"/>
        <w:rPr>
          <w:bCs/>
          <w:sz w:val="32"/>
          <w:szCs w:val="32"/>
        </w:rPr>
      </w:pPr>
      <w:r>
        <w:rPr>
          <w:b/>
          <w:sz w:val="32"/>
          <w:szCs w:val="32"/>
        </w:rPr>
        <w:t>（1）高层次人才租房补贴。</w:t>
      </w:r>
      <w:r>
        <w:rPr>
          <w:bCs/>
          <w:sz w:val="32"/>
          <w:szCs w:val="32"/>
        </w:rPr>
        <w:t>龙华区人才工作领导小组办公室于2014年4月印发《深圳市龙华新区高层次人才综合保障实施办法（试行）》(深龙华人才通〔2014〕2号)，规定对Ⅰ、Ⅱ、Ⅲ三类高层次人才进行购房、租房补贴，补贴标准参照《深圳市人才安居暂行办法》标准执行</w:t>
      </w:r>
      <w:r>
        <w:rPr>
          <w:rStyle w:val="12"/>
          <w:bCs/>
          <w:sz w:val="32"/>
          <w:szCs w:val="32"/>
        </w:rPr>
        <w:footnoteReference w:id="0"/>
      </w:r>
      <w:r>
        <w:rPr>
          <w:bCs/>
          <w:sz w:val="32"/>
          <w:szCs w:val="32"/>
        </w:rPr>
        <w:t>。2017年3月，龙华区人才工作领导小组印发《深圳市龙华区高层次人才综合保障实施办法(试行)》（深龙华人才通〔2017〕9号，以下简称《实施办法（试行）》），《实施办法（试行）》的“第三章 住房安居”明确租房补贴对象为符合条件的经认定的高层次人才（分全职和非全职），包括龙舞华章计划杰出人才、A类、B类和C类人才，并对补贴标准和补贴方式进行了明确规定，相关政策于2019年4月、2020年1月进行了两次细节修订，2020年正式印发《深圳市龙华区高层次人才综合保障实施办法》（深龙华人〔2020〕3 号)（以下简称《实施办法》）。</w:t>
      </w:r>
    </w:p>
    <w:p>
      <w:pPr>
        <w:widowControl/>
        <w:snapToGrid w:val="0"/>
        <w:spacing w:line="560" w:lineRule="exact"/>
        <w:ind w:firstLine="643" w:firstLineChars="200"/>
        <w:rPr>
          <w:bCs/>
          <w:sz w:val="32"/>
          <w:szCs w:val="32"/>
        </w:rPr>
      </w:pPr>
      <w:r>
        <w:rPr>
          <w:b/>
          <w:sz w:val="32"/>
          <w:szCs w:val="32"/>
        </w:rPr>
        <w:t>（2）技能人才租房补贴。</w:t>
      </w:r>
      <w:r>
        <w:rPr>
          <w:bCs/>
          <w:sz w:val="32"/>
          <w:szCs w:val="32"/>
        </w:rPr>
        <w:t>为进一步加强技能人才队伍建设，推动龙华区从制造大区向制造强区转变，适应产业转型升级和新一轮发展竞争要求，根据《新时期产业工人队伍建设改革方案》《技能人才队伍建设实施方案（2018—2020年）》以及省、市、区相关文件精神，结合实际，龙华区人力资源局于2020年1月印发《深圳市龙华区技能人才扶持办法（试行）》（深龙华人〔2020〕13号）（以下简称《扶持办法（试行）》，规定“未享受深圳市、龙华区公租房及人才住房相关优惠政策的领军技能人才（A类）、骨干技能人才（B类），每人限享受一次住房保障”，领军技能人才（A类）、骨干技能人才（B类）的补贴标准按照</w:t>
      </w:r>
      <w:r>
        <w:rPr>
          <w:bCs/>
          <w:sz w:val="32"/>
          <w:szCs w:val="32"/>
          <w:lang w:bidi="ar"/>
        </w:rPr>
        <w:t>龙舞华章计划B</w:t>
      </w:r>
      <w:r>
        <w:rPr>
          <w:bCs/>
          <w:sz w:val="32"/>
          <w:szCs w:val="32"/>
        </w:rPr>
        <w:t>类、</w:t>
      </w:r>
      <w:r>
        <w:rPr>
          <w:bCs/>
          <w:sz w:val="32"/>
          <w:szCs w:val="32"/>
          <w:lang w:bidi="ar"/>
        </w:rPr>
        <w:t>龙舞华章计划C</w:t>
      </w:r>
      <w:r>
        <w:rPr>
          <w:bCs/>
          <w:sz w:val="32"/>
          <w:szCs w:val="32"/>
        </w:rPr>
        <w:t>类的补贴标准执行，补贴方式与高层次人才相同。</w:t>
      </w:r>
    </w:p>
    <w:p>
      <w:pPr>
        <w:widowControl/>
        <w:snapToGrid w:val="0"/>
        <w:spacing w:line="560" w:lineRule="exact"/>
        <w:ind w:firstLine="643" w:firstLineChars="200"/>
        <w:rPr>
          <w:bCs/>
          <w:sz w:val="32"/>
          <w:szCs w:val="32"/>
        </w:rPr>
      </w:pPr>
      <w:r>
        <w:rPr>
          <w:b/>
          <w:sz w:val="32"/>
          <w:szCs w:val="32"/>
        </w:rPr>
        <w:t>（3）重点企业人才租房货币补贴。</w:t>
      </w:r>
      <w:r>
        <w:rPr>
          <w:bCs/>
          <w:sz w:val="32"/>
          <w:szCs w:val="32"/>
        </w:rPr>
        <w:t>根据《关于促进人才优先发展的若干措施》（深发〔2016〕9号，以下简称《若干措施》）要求，自2016年起，龙华区针对重点企业开展人才租房货币补贴工作，在实物配租基础上通过货币补贴方式缓解龙华区重点企业人才住房困难，通过各种住房保障措施以吸引人才、保障人才、留住人才。</w:t>
      </w:r>
    </w:p>
    <w:p>
      <w:pPr>
        <w:spacing w:line="560" w:lineRule="exact"/>
        <w:ind w:firstLine="640" w:firstLineChars="200"/>
        <w:outlineLvl w:val="0"/>
        <w:rPr>
          <w:rFonts w:eastAsia="黑体"/>
          <w:bCs/>
          <w:kern w:val="44"/>
          <w:sz w:val="32"/>
          <w:szCs w:val="44"/>
          <w:lang w:val="zh-CN"/>
        </w:rPr>
      </w:pPr>
      <w:bookmarkStart w:id="57" w:name="_Toc88656165"/>
      <w:bookmarkStart w:id="58" w:name="_Toc89775674"/>
      <w:bookmarkStart w:id="59" w:name="_Toc4400"/>
      <w:bookmarkStart w:id="60" w:name="_Toc23043"/>
      <w:bookmarkStart w:id="61" w:name="_Toc25293"/>
      <w:bookmarkStart w:id="62" w:name="_Toc23358"/>
      <w:bookmarkStart w:id="63" w:name="_Toc10561"/>
      <w:bookmarkStart w:id="64" w:name="_Toc87369816"/>
      <w:bookmarkStart w:id="65" w:name="_Toc16115"/>
      <w:bookmarkStart w:id="66" w:name="_Toc79857553"/>
      <w:bookmarkStart w:id="67" w:name="_Toc4150"/>
      <w:bookmarkStart w:id="68" w:name="_Toc32469"/>
      <w:bookmarkStart w:id="69" w:name="_Toc2773"/>
      <w:bookmarkStart w:id="70" w:name="_Toc24999"/>
      <w:bookmarkStart w:id="71" w:name="_Toc9729"/>
      <w:bookmarkStart w:id="72" w:name="_Toc26444"/>
      <w:bookmarkStart w:id="73" w:name="_Toc17258"/>
      <w:bookmarkStart w:id="74" w:name="_Toc45099976"/>
      <w:bookmarkStart w:id="75" w:name="_Toc58821304"/>
      <w:bookmarkStart w:id="76" w:name="_Toc46393520"/>
      <w:bookmarkStart w:id="77" w:name="_Toc46393532"/>
      <w:bookmarkStart w:id="78" w:name="_Toc45099984"/>
      <w:r>
        <w:rPr>
          <w:rFonts w:eastAsia="黑体"/>
          <w:bCs/>
          <w:kern w:val="44"/>
          <w:sz w:val="32"/>
          <w:szCs w:val="44"/>
          <w:lang w:val="zh-CN"/>
        </w:rPr>
        <w:t>二、绩效评价工作开展情况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pPr>
        <w:snapToGrid w:val="0"/>
        <w:spacing w:line="560" w:lineRule="exact"/>
        <w:ind w:firstLine="640" w:firstLineChars="200"/>
        <w:rPr>
          <w:bCs/>
          <w:sz w:val="32"/>
          <w:szCs w:val="32"/>
        </w:rPr>
      </w:pPr>
      <w:bookmarkStart w:id="79" w:name="_Toc20979"/>
      <w:bookmarkStart w:id="80" w:name="_Toc87369820"/>
      <w:bookmarkStart w:id="81" w:name="_Toc32052"/>
      <w:bookmarkStart w:id="82" w:name="_Toc4146"/>
      <w:bookmarkStart w:id="83" w:name="_Toc9738"/>
      <w:bookmarkStart w:id="84" w:name="_Toc4127"/>
      <w:bookmarkStart w:id="85" w:name="_Toc86135437"/>
      <w:bookmarkStart w:id="86" w:name="_Toc88656169"/>
      <w:r>
        <w:rPr>
          <w:bCs/>
          <w:sz w:val="32"/>
          <w:szCs w:val="32"/>
        </w:rPr>
        <w:t>综合本次绩效评价情况，区住建局能够按程序受理审核重点企业和高层次人才的补贴申请，咨询反馈机制健全，但是在政策实施过程中还存在补贴政策内容相对粗放、补贴资金大量沉淀、监督管理滞后、惩戒工作执行不</w:t>
      </w:r>
      <w:r>
        <w:rPr>
          <w:rFonts w:hint="eastAsia"/>
          <w:bCs/>
          <w:sz w:val="32"/>
          <w:szCs w:val="32"/>
        </w:rPr>
        <w:t>到位</w:t>
      </w:r>
      <w:r>
        <w:rPr>
          <w:bCs/>
          <w:sz w:val="32"/>
          <w:szCs w:val="32"/>
        </w:rPr>
        <w:t>、政策实施效果不明显等问题，资金使用绩效有待进一步提高。</w:t>
      </w:r>
    </w:p>
    <w:p>
      <w:pPr>
        <w:spacing w:line="560" w:lineRule="exact"/>
        <w:ind w:firstLine="640" w:firstLineChars="200"/>
        <w:rPr>
          <w:bCs/>
          <w:sz w:val="32"/>
          <w:szCs w:val="32"/>
        </w:rPr>
      </w:pPr>
      <w:r>
        <w:rPr>
          <w:sz w:val="32"/>
          <w:szCs w:val="32"/>
        </w:rPr>
        <w:t>评价小组依据绩效评价指标体系，根据区住建局提供相关的材料，结合延伸评价和满意度调查的相关情况，对区住建局2020年人才专项资金-租房补贴项目绩效进行了综合评价。本次绩效评价评分综合结果为79.08分，得分率为79.08%，综合评定等级为“中</w:t>
      </w:r>
      <w:r>
        <w:rPr>
          <w:rStyle w:val="12"/>
          <w:sz w:val="32"/>
          <w:szCs w:val="32"/>
        </w:rPr>
        <w:footnoteReference w:id="1"/>
      </w:r>
      <w:r>
        <w:rPr>
          <w:sz w:val="32"/>
          <w:szCs w:val="32"/>
        </w:rPr>
        <w:t>”，</w:t>
      </w:r>
      <w:r>
        <w:rPr>
          <w:bCs/>
          <w:sz w:val="32"/>
          <w:szCs w:val="32"/>
        </w:rPr>
        <w:t>评分情况详见附件4-绩效评价指标体系。</w:t>
      </w:r>
    </w:p>
    <w:bookmarkEnd w:id="74"/>
    <w:bookmarkEnd w:id="75"/>
    <w:bookmarkEnd w:id="76"/>
    <w:bookmarkEnd w:id="79"/>
    <w:bookmarkEnd w:id="80"/>
    <w:bookmarkEnd w:id="81"/>
    <w:bookmarkEnd w:id="82"/>
    <w:bookmarkEnd w:id="83"/>
    <w:bookmarkEnd w:id="84"/>
    <w:bookmarkEnd w:id="85"/>
    <w:bookmarkEnd w:id="86"/>
    <w:p>
      <w:pPr>
        <w:spacing w:line="560" w:lineRule="exact"/>
        <w:ind w:firstLine="640" w:firstLineChars="200"/>
        <w:outlineLvl w:val="0"/>
        <w:rPr>
          <w:rFonts w:eastAsia="黑体"/>
          <w:bCs/>
          <w:kern w:val="44"/>
          <w:sz w:val="32"/>
          <w:szCs w:val="44"/>
          <w:lang w:val="zh-CN"/>
        </w:rPr>
      </w:pPr>
      <w:bookmarkStart w:id="87" w:name="_Toc13756"/>
      <w:bookmarkStart w:id="88" w:name="_Toc16260"/>
      <w:bookmarkStart w:id="89" w:name="_Toc27882"/>
      <w:bookmarkStart w:id="90" w:name="_Toc89775679"/>
      <w:bookmarkStart w:id="91" w:name="_Toc88656170"/>
      <w:bookmarkStart w:id="92" w:name="_Toc25827"/>
      <w:bookmarkStart w:id="93" w:name="_Toc87369821"/>
      <w:r>
        <w:rPr>
          <w:rFonts w:hint="eastAsia" w:eastAsia="黑体"/>
          <w:bCs/>
          <w:kern w:val="44"/>
          <w:sz w:val="32"/>
          <w:szCs w:val="44"/>
          <w:lang w:val="zh-CN"/>
        </w:rPr>
        <w:t>三、</w:t>
      </w:r>
      <w:bookmarkStart w:id="94" w:name="_Toc46393527"/>
      <w:bookmarkStart w:id="95" w:name="_Toc15154"/>
      <w:bookmarkStart w:id="96" w:name="_Toc14858"/>
      <w:bookmarkStart w:id="97" w:name="_Toc22983"/>
      <w:bookmarkStart w:id="98" w:name="_Toc85561075"/>
      <w:bookmarkStart w:id="99" w:name="_Toc9283"/>
      <w:bookmarkStart w:id="100" w:name="_Toc28251"/>
      <w:bookmarkStart w:id="101" w:name="_Toc25523"/>
      <w:bookmarkStart w:id="102" w:name="_Toc45099979"/>
      <w:bookmarkStart w:id="103" w:name="_Toc30448"/>
      <w:bookmarkStart w:id="104" w:name="_Toc14362"/>
      <w:bookmarkStart w:id="105" w:name="_Toc58821311"/>
      <w:r>
        <w:rPr>
          <w:rFonts w:eastAsia="黑体"/>
          <w:bCs/>
          <w:kern w:val="44"/>
          <w:sz w:val="32"/>
          <w:szCs w:val="44"/>
          <w:lang w:val="zh-CN"/>
        </w:rPr>
        <w:t>取得的主要成效</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pPr>
        <w:keepNext/>
        <w:keepLines/>
        <w:widowControl/>
        <w:spacing w:line="560" w:lineRule="exact"/>
        <w:ind w:firstLine="643" w:firstLineChars="200"/>
        <w:jc w:val="left"/>
        <w:outlineLvl w:val="1"/>
        <w:rPr>
          <w:bCs/>
          <w:kern w:val="0"/>
          <w:sz w:val="32"/>
          <w:szCs w:val="32"/>
        </w:rPr>
      </w:pPr>
      <w:bookmarkStart w:id="106" w:name="_Toc21083"/>
      <w:bookmarkStart w:id="107" w:name="_Toc87369822"/>
      <w:bookmarkStart w:id="108" w:name="_Toc7824"/>
      <w:bookmarkStart w:id="109" w:name="_Toc9072"/>
      <w:bookmarkStart w:id="110" w:name="_Toc88656171"/>
      <w:bookmarkStart w:id="111" w:name="_Toc2385"/>
      <w:bookmarkStart w:id="112" w:name="_Toc89775680"/>
      <w:bookmarkStart w:id="113" w:name="_Toc13835"/>
      <w:r>
        <w:rPr>
          <w:rFonts w:eastAsia="楷体_GB2312"/>
          <w:b/>
          <w:bCs/>
          <w:kern w:val="0"/>
          <w:sz w:val="32"/>
          <w:szCs w:val="32"/>
        </w:rPr>
        <w:t>（一）补贴资金可以保障补贴对象人均住房面积，补贴对象调查满意度高</w:t>
      </w:r>
      <w:bookmarkEnd w:id="106"/>
      <w:bookmarkEnd w:id="107"/>
      <w:bookmarkEnd w:id="108"/>
      <w:bookmarkEnd w:id="109"/>
      <w:bookmarkEnd w:id="110"/>
      <w:bookmarkEnd w:id="111"/>
      <w:bookmarkEnd w:id="112"/>
      <w:bookmarkEnd w:id="113"/>
    </w:p>
    <w:p>
      <w:pPr>
        <w:spacing w:line="560" w:lineRule="exact"/>
        <w:ind w:firstLine="640" w:firstLineChars="200"/>
        <w:rPr>
          <w:sz w:val="32"/>
          <w:szCs w:val="32"/>
        </w:rPr>
      </w:pPr>
      <w:r>
        <w:rPr>
          <w:bCs/>
          <w:kern w:val="0"/>
          <w:sz w:val="32"/>
          <w:szCs w:val="32"/>
        </w:rPr>
        <w:t>因保障性住房配租不足，龙华区将租房货币补贴作为实物配租的补充方式，自2016年起针对经认定的</w:t>
      </w:r>
      <w:r>
        <w:rPr>
          <w:sz w:val="32"/>
          <w:szCs w:val="32"/>
        </w:rPr>
        <w:t>重点企业的人才发放，因此补贴资金可以合理认定为按照市场价租房的租金与保障性住房租金的差额。为了真实反映重点企业人才补贴政策的安居保障效果，评价小组从中国房产行情网查询到2016-2020年龙华区住宅租金市场价，从区住建局官网查询到2016-2020年龙华区保障性住房租金情况，两相比较，租金市场价与保障性住房租金的平均差价在31.27元/平方米。当前，龙华区重点企业人才租房货币补贴的标准为每人每年12,000元，按照每人每月1,000元计算，能够保障补贴对象32.31平方米的人均住房面积（考虑到本次采用住宅租金市场价进行测算，因补贴对象租住住宅类型的不同及其区位因素等，补贴资金能够保障的人均住房面积会有所不同，相关测算过程详见表3-1），接近《2020年中国居民居住目标预测研究报告》提出的“2020年我国城镇人均住房建筑面积预计达35平方米”的目标（该报告由国家建设部政策研究中心于2004年发布）。</w:t>
      </w:r>
    </w:p>
    <w:p>
      <w:pPr>
        <w:keepNext/>
        <w:keepLines/>
        <w:widowControl/>
        <w:spacing w:line="560" w:lineRule="exact"/>
        <w:ind w:firstLine="643" w:firstLineChars="200"/>
        <w:jc w:val="left"/>
        <w:outlineLvl w:val="1"/>
        <w:rPr>
          <w:rFonts w:eastAsia="楷体_GB2312"/>
          <w:b/>
          <w:bCs/>
          <w:kern w:val="0"/>
          <w:sz w:val="32"/>
          <w:szCs w:val="32"/>
        </w:rPr>
      </w:pPr>
      <w:bookmarkStart w:id="114" w:name="_Toc17023"/>
      <w:bookmarkStart w:id="115" w:name="_Toc27992"/>
      <w:bookmarkStart w:id="116" w:name="_Toc19228"/>
      <w:bookmarkStart w:id="117" w:name="_Toc88656178"/>
      <w:bookmarkStart w:id="118" w:name="_Toc89775681"/>
      <w:bookmarkStart w:id="119" w:name="_Toc87369828"/>
      <w:bookmarkStart w:id="120" w:name="_Toc22963"/>
      <w:bookmarkStart w:id="121" w:name="_Toc24967"/>
      <w:r>
        <w:rPr>
          <w:rFonts w:eastAsia="楷体_GB2312"/>
          <w:b/>
          <w:bCs/>
          <w:kern w:val="0"/>
          <w:sz w:val="32"/>
          <w:szCs w:val="32"/>
        </w:rPr>
        <w:t>（</w:t>
      </w:r>
      <w:r>
        <w:rPr>
          <w:rFonts w:hint="eastAsia" w:eastAsia="楷体_GB2312"/>
          <w:b/>
          <w:bCs/>
          <w:kern w:val="0"/>
          <w:sz w:val="32"/>
          <w:szCs w:val="32"/>
        </w:rPr>
        <w:t>二</w:t>
      </w:r>
      <w:r>
        <w:rPr>
          <w:rFonts w:eastAsia="楷体_GB2312"/>
          <w:b/>
          <w:bCs/>
          <w:kern w:val="0"/>
          <w:sz w:val="32"/>
          <w:szCs w:val="32"/>
        </w:rPr>
        <w:t>）</w:t>
      </w:r>
      <w:r>
        <w:rPr>
          <w:rFonts w:hint="eastAsia" w:eastAsia="楷体_GB2312"/>
          <w:b/>
          <w:bCs/>
          <w:kern w:val="0"/>
          <w:sz w:val="32"/>
          <w:szCs w:val="32"/>
        </w:rPr>
        <w:t>依托系统开展补贴申报和审核工作，提高补贴发放效率</w:t>
      </w:r>
      <w:bookmarkEnd w:id="114"/>
      <w:bookmarkEnd w:id="115"/>
      <w:bookmarkEnd w:id="116"/>
      <w:bookmarkEnd w:id="117"/>
      <w:bookmarkEnd w:id="118"/>
      <w:bookmarkEnd w:id="119"/>
      <w:bookmarkEnd w:id="120"/>
      <w:bookmarkEnd w:id="121"/>
    </w:p>
    <w:p>
      <w:pPr>
        <w:widowControl/>
        <w:spacing w:line="560" w:lineRule="exact"/>
        <w:ind w:firstLine="643" w:firstLineChars="200"/>
        <w:rPr>
          <w:sz w:val="32"/>
          <w:szCs w:val="32"/>
        </w:rPr>
      </w:pPr>
      <w:r>
        <w:rPr>
          <w:rFonts w:hint="eastAsia"/>
          <w:b/>
          <w:sz w:val="32"/>
          <w:szCs w:val="32"/>
        </w:rPr>
        <w:t>一是</w:t>
      </w:r>
      <w:r>
        <w:rPr>
          <w:sz w:val="32"/>
          <w:szCs w:val="32"/>
        </w:rPr>
        <w:t>重点企业人才租房货币补贴采取全流程网上办理模式，申请人在系统中提交资料，区住建局在系统后台进行审核，实现在线办理、不见面审批、不出门办成事，在疫情防控期间最大限度地让数据多跑腿、群众少出门。</w:t>
      </w:r>
      <w:r>
        <w:rPr>
          <w:rFonts w:hint="eastAsia"/>
          <w:b/>
          <w:sz w:val="32"/>
          <w:szCs w:val="32"/>
        </w:rPr>
        <w:t>二是</w:t>
      </w:r>
      <w:bookmarkStart w:id="122" w:name="_Toc4912"/>
      <w:bookmarkStart w:id="123" w:name="_Toc1042"/>
      <w:bookmarkStart w:id="124" w:name="_Toc87369829"/>
      <w:bookmarkStart w:id="125" w:name="_Toc13094"/>
      <w:bookmarkStart w:id="126" w:name="_Toc21647"/>
      <w:bookmarkStart w:id="127" w:name="_Toc32497"/>
      <w:bookmarkStart w:id="128" w:name="_Toc6874"/>
      <w:bookmarkStart w:id="129" w:name="_Toc17308"/>
      <w:bookmarkStart w:id="130" w:name="_Toc10478"/>
      <w:r>
        <w:rPr>
          <w:sz w:val="32"/>
          <w:szCs w:val="32"/>
        </w:rPr>
        <w:t>依托系统开展跨部门数据共享和自动对比，提高了审批效率和准确性</w:t>
      </w:r>
      <w:bookmarkEnd w:id="122"/>
      <w:bookmarkEnd w:id="123"/>
      <w:bookmarkEnd w:id="124"/>
      <w:bookmarkEnd w:id="125"/>
      <w:bookmarkEnd w:id="126"/>
      <w:bookmarkEnd w:id="127"/>
      <w:bookmarkEnd w:id="128"/>
      <w:bookmarkEnd w:id="129"/>
      <w:bookmarkEnd w:id="130"/>
      <w:r>
        <w:rPr>
          <w:rFonts w:hint="eastAsia"/>
          <w:sz w:val="32"/>
          <w:szCs w:val="32"/>
        </w:rPr>
        <w:t>。</w:t>
      </w:r>
      <w:r>
        <w:rPr>
          <w:sz w:val="32"/>
          <w:szCs w:val="32"/>
        </w:rPr>
        <w:t>区住建局通过跨部门共享的</w:t>
      </w:r>
      <w:r>
        <w:rPr>
          <w:rFonts w:hint="eastAsia"/>
          <w:sz w:val="32"/>
          <w:szCs w:val="32"/>
        </w:rPr>
        <w:t>数据平台，对申请人</w:t>
      </w:r>
      <w:r>
        <w:rPr>
          <w:sz w:val="32"/>
          <w:szCs w:val="32"/>
        </w:rPr>
        <w:t>社保缴纳</w:t>
      </w:r>
      <w:r>
        <w:rPr>
          <w:rFonts w:hint="eastAsia"/>
          <w:sz w:val="32"/>
          <w:szCs w:val="32"/>
        </w:rPr>
        <w:t>情况</w:t>
      </w:r>
      <w:r>
        <w:rPr>
          <w:sz w:val="32"/>
          <w:szCs w:val="32"/>
        </w:rPr>
        <w:t>、房产交易</w:t>
      </w:r>
      <w:r>
        <w:rPr>
          <w:rFonts w:hint="eastAsia"/>
          <w:sz w:val="32"/>
          <w:szCs w:val="32"/>
        </w:rPr>
        <w:t>情况</w:t>
      </w:r>
      <w:r>
        <w:rPr>
          <w:sz w:val="32"/>
          <w:szCs w:val="32"/>
        </w:rPr>
        <w:t>、婚姻</w:t>
      </w:r>
      <w:r>
        <w:rPr>
          <w:rFonts w:hint="eastAsia"/>
          <w:sz w:val="32"/>
          <w:szCs w:val="32"/>
        </w:rPr>
        <w:t>状况、已享受的住房优惠政策</w:t>
      </w:r>
      <w:r>
        <w:rPr>
          <w:sz w:val="32"/>
          <w:szCs w:val="32"/>
        </w:rPr>
        <w:t>等信息</w:t>
      </w:r>
      <w:r>
        <w:rPr>
          <w:rFonts w:hint="eastAsia"/>
          <w:sz w:val="32"/>
          <w:szCs w:val="32"/>
        </w:rPr>
        <w:t>进行比对核查。</w:t>
      </w:r>
      <w:r>
        <w:rPr>
          <w:sz w:val="32"/>
          <w:szCs w:val="32"/>
        </w:rPr>
        <w:t>与传统人工审核相比</w:t>
      </w:r>
      <w:r>
        <w:rPr>
          <w:rFonts w:hint="eastAsia"/>
          <w:sz w:val="32"/>
          <w:szCs w:val="32"/>
        </w:rPr>
        <w:t>，</w:t>
      </w:r>
      <w:r>
        <w:rPr>
          <w:sz w:val="32"/>
          <w:szCs w:val="32"/>
        </w:rPr>
        <w:t>审批效率更高、数据比对准确率更高、人工干预风险更低。</w:t>
      </w:r>
    </w:p>
    <w:p>
      <w:pPr>
        <w:keepNext/>
        <w:keepLines/>
        <w:widowControl/>
        <w:spacing w:line="560" w:lineRule="exact"/>
        <w:ind w:firstLine="643" w:firstLineChars="200"/>
        <w:jc w:val="left"/>
        <w:outlineLvl w:val="1"/>
        <w:rPr>
          <w:rFonts w:eastAsia="楷体_GB2312"/>
          <w:b/>
          <w:bCs/>
          <w:kern w:val="0"/>
          <w:sz w:val="32"/>
          <w:szCs w:val="32"/>
        </w:rPr>
      </w:pPr>
      <w:bookmarkStart w:id="131" w:name="_Toc3566"/>
      <w:bookmarkStart w:id="132" w:name="_Toc88656179"/>
      <w:bookmarkStart w:id="133" w:name="_Toc19889"/>
      <w:bookmarkStart w:id="134" w:name="_Toc6131"/>
      <w:bookmarkStart w:id="135" w:name="_Toc21042"/>
      <w:bookmarkStart w:id="136" w:name="_Toc89775682"/>
      <w:bookmarkStart w:id="137" w:name="_Toc30273"/>
      <w:r>
        <w:rPr>
          <w:rFonts w:hint="eastAsia" w:eastAsia="楷体_GB2312"/>
          <w:b/>
          <w:bCs/>
          <w:kern w:val="0"/>
          <w:sz w:val="32"/>
          <w:szCs w:val="32"/>
        </w:rPr>
        <w:t>（三）政策信息公开及时规范，提高政策透明度</w:t>
      </w:r>
      <w:bookmarkEnd w:id="131"/>
      <w:bookmarkEnd w:id="132"/>
      <w:bookmarkEnd w:id="133"/>
      <w:bookmarkEnd w:id="134"/>
      <w:bookmarkEnd w:id="135"/>
      <w:bookmarkEnd w:id="136"/>
      <w:bookmarkEnd w:id="137"/>
    </w:p>
    <w:p>
      <w:pPr>
        <w:spacing w:line="560" w:lineRule="exact"/>
        <w:ind w:firstLine="640" w:firstLineChars="200"/>
        <w:rPr>
          <w:sz w:val="32"/>
          <w:szCs w:val="32"/>
        </w:rPr>
      </w:pPr>
      <w:r>
        <w:rPr>
          <w:rFonts w:hint="eastAsia"/>
          <w:sz w:val="32"/>
          <w:szCs w:val="32"/>
        </w:rPr>
        <w:t>区住建局在政策实施过程中建立了良好的信息公开、公示机制，让社会公众享有充分的知情权，提高了政策透明度。</w:t>
      </w:r>
      <w:r>
        <w:rPr>
          <w:rFonts w:hint="eastAsia"/>
          <w:b/>
          <w:sz w:val="32"/>
          <w:szCs w:val="32"/>
        </w:rPr>
        <w:t>一是</w:t>
      </w:r>
      <w:r>
        <w:rPr>
          <w:rFonts w:hint="eastAsia"/>
          <w:sz w:val="32"/>
          <w:szCs w:val="32"/>
        </w:rPr>
        <w:t>建立了良好的信息公开机制，通过区住建局网站发布补贴申请通告，向社会公开补贴申领标准、工作程序等信息。</w:t>
      </w:r>
      <w:r>
        <w:rPr>
          <w:rFonts w:hint="eastAsia"/>
          <w:b/>
          <w:sz w:val="32"/>
          <w:szCs w:val="32"/>
        </w:rPr>
        <w:t>二是</w:t>
      </w:r>
      <w:r>
        <w:rPr>
          <w:rFonts w:hint="eastAsia"/>
          <w:sz w:val="32"/>
          <w:szCs w:val="32"/>
        </w:rPr>
        <w:t>建立了实时的审批进度反馈机制，申报补贴的电子信息平台实时更新审批进度，向申请企业公开其补贴申请、受理、审批、发放进度等信息。</w:t>
      </w:r>
      <w:r>
        <w:rPr>
          <w:rFonts w:hint="eastAsia"/>
          <w:b/>
          <w:sz w:val="32"/>
          <w:szCs w:val="32"/>
        </w:rPr>
        <w:t>三是</w:t>
      </w:r>
      <w:r>
        <w:rPr>
          <w:rFonts w:hint="eastAsia"/>
          <w:sz w:val="32"/>
          <w:szCs w:val="32"/>
        </w:rPr>
        <w:t>建立了补贴发放前的公示机制，对审批通过、拟发补贴的申请企业，及时向社会公示，充分保障群众的知情权和监督权。</w:t>
      </w:r>
    </w:p>
    <w:p>
      <w:pPr>
        <w:keepNext/>
        <w:keepLines/>
        <w:widowControl/>
        <w:spacing w:line="560" w:lineRule="exact"/>
        <w:ind w:firstLine="640" w:firstLineChars="200"/>
        <w:jc w:val="left"/>
        <w:outlineLvl w:val="0"/>
        <w:rPr>
          <w:sz w:val="32"/>
          <w:szCs w:val="32"/>
        </w:rPr>
      </w:pPr>
      <w:bookmarkStart w:id="138" w:name="_Toc88656180"/>
      <w:bookmarkStart w:id="139" w:name="_Toc10386"/>
      <w:bookmarkStart w:id="140" w:name="_Toc58821316"/>
      <w:bookmarkStart w:id="141" w:name="_Toc17930"/>
      <w:bookmarkStart w:id="142" w:name="_Toc87369830"/>
      <w:bookmarkStart w:id="143" w:name="_Toc15446"/>
      <w:bookmarkStart w:id="144" w:name="_Toc1858"/>
      <w:bookmarkStart w:id="145" w:name="_Toc14421"/>
      <w:bookmarkStart w:id="146" w:name="_Toc32188"/>
      <w:bookmarkStart w:id="147" w:name="_Toc28810"/>
      <w:bookmarkStart w:id="148" w:name="_Toc12714"/>
      <w:bookmarkStart w:id="149" w:name="_Toc6034"/>
      <w:bookmarkStart w:id="150" w:name="_Toc31861"/>
      <w:bookmarkStart w:id="151" w:name="_Toc22754"/>
      <w:bookmarkStart w:id="152" w:name="_Toc21321"/>
      <w:bookmarkStart w:id="153" w:name="_Toc13060"/>
      <w:bookmarkStart w:id="154" w:name="_Toc89775683"/>
      <w:r>
        <w:rPr>
          <w:rFonts w:hint="eastAsia" w:eastAsia="黑体"/>
          <w:kern w:val="44"/>
          <w:sz w:val="32"/>
          <w:szCs w:val="32"/>
        </w:rPr>
        <w:t>四</w:t>
      </w:r>
      <w:r>
        <w:rPr>
          <w:rFonts w:eastAsia="黑体"/>
          <w:kern w:val="44"/>
          <w:sz w:val="32"/>
          <w:szCs w:val="32"/>
        </w:rPr>
        <w:t>、存在的主要问题</w:t>
      </w:r>
      <w:bookmarkEnd w:id="77"/>
      <w:bookmarkEnd w:id="78"/>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pPr>
        <w:keepNext/>
        <w:keepLines/>
        <w:widowControl/>
        <w:spacing w:line="560" w:lineRule="exact"/>
        <w:ind w:firstLine="643" w:firstLineChars="200"/>
        <w:jc w:val="left"/>
        <w:outlineLvl w:val="1"/>
        <w:rPr>
          <w:rFonts w:eastAsia="楷体_GB2312"/>
          <w:b/>
          <w:bCs/>
          <w:kern w:val="0"/>
          <w:sz w:val="32"/>
          <w:szCs w:val="32"/>
        </w:rPr>
      </w:pPr>
      <w:bookmarkStart w:id="155" w:name="_Toc89775684"/>
      <w:bookmarkStart w:id="156" w:name="_Toc88656181"/>
      <w:bookmarkStart w:id="157" w:name="_Toc1575"/>
      <w:bookmarkStart w:id="158" w:name="_Toc17343"/>
      <w:bookmarkStart w:id="159" w:name="_Toc24962"/>
      <w:bookmarkStart w:id="160" w:name="_Toc27600"/>
      <w:bookmarkStart w:id="161" w:name="_Toc10695"/>
      <w:bookmarkStart w:id="162" w:name="_Toc87369831"/>
      <w:r>
        <w:rPr>
          <w:rFonts w:eastAsia="楷体_GB2312"/>
          <w:b/>
          <w:bCs/>
          <w:kern w:val="0"/>
          <w:sz w:val="32"/>
          <w:szCs w:val="32"/>
        </w:rPr>
        <w:t>（</w:t>
      </w:r>
      <w:r>
        <w:rPr>
          <w:rFonts w:hint="eastAsia" w:eastAsia="楷体_GB2312"/>
          <w:b/>
          <w:bCs/>
          <w:kern w:val="0"/>
          <w:sz w:val="32"/>
          <w:szCs w:val="32"/>
        </w:rPr>
        <w:t>一</w:t>
      </w:r>
      <w:r>
        <w:rPr>
          <w:rFonts w:eastAsia="楷体_GB2312"/>
          <w:b/>
          <w:bCs/>
          <w:kern w:val="0"/>
          <w:sz w:val="32"/>
          <w:szCs w:val="32"/>
        </w:rPr>
        <w:t>）重点企业人才租房货币补贴政策内容相对粗糙，部分政策内容不完善</w:t>
      </w:r>
      <w:bookmarkEnd w:id="155"/>
    </w:p>
    <w:p>
      <w:pPr>
        <w:spacing w:line="560" w:lineRule="exact"/>
        <w:ind w:firstLine="643" w:firstLineChars="200"/>
        <w:rPr>
          <w:sz w:val="32"/>
          <w:szCs w:val="32"/>
        </w:rPr>
      </w:pPr>
      <w:r>
        <w:rPr>
          <w:b/>
          <w:bCs/>
          <w:sz w:val="32"/>
          <w:szCs w:val="32"/>
        </w:rPr>
        <w:t>一是未明确规定职业资格的种类、认可范围。</w:t>
      </w:r>
      <w:r>
        <w:rPr>
          <w:rFonts w:hint="eastAsia"/>
          <w:b/>
          <w:bCs/>
          <w:sz w:val="32"/>
          <w:szCs w:val="32"/>
        </w:rPr>
        <w:t>首先，</w:t>
      </w:r>
      <w:r>
        <w:rPr>
          <w:rFonts w:hint="eastAsia"/>
          <w:sz w:val="32"/>
          <w:szCs w:val="32"/>
        </w:rPr>
        <w:t>区</w:t>
      </w:r>
      <w:r>
        <w:rPr>
          <w:sz w:val="32"/>
          <w:szCs w:val="32"/>
        </w:rPr>
        <w:t>住建局每年度印发的用于规范和指导重点企业人才租房货币补贴政策实施的工作方案中，未明确规定职业资格的种类、认可范围。根据现场调研掌握的情况，区住建局在实际工作中，重点企业人员凡是持有国家、省、市人力或劳动部门颁发的职业技能资格证书的，均可通过申请获批补贴，不论其持有的证书是否已被国家相关部门取消，缺乏审核查证。经公开查询，我国在2014-2020年间，相继取消了435项职业资格，占该区间内存量职业资格总数的75%以上，2019年1月17日人力资源社会保障部发布的《关于公布国家职业资格目录的通知》中，保留139项职业资格。对比2016-2020年因持有职业资格证书获得补贴的重点企业人员情况，仍存在持有被取消的职业资格证书获得补贴的情形，如摄影师职业资格证书2016年已经取消，2016年后仍有人员依据之前考取的摄影师资格证书获得租房货币补贴</w:t>
      </w:r>
      <w:r>
        <w:rPr>
          <w:rFonts w:hint="eastAsia"/>
          <w:sz w:val="32"/>
          <w:szCs w:val="32"/>
        </w:rPr>
        <w:t>；</w:t>
      </w:r>
      <w:r>
        <w:rPr>
          <w:rFonts w:hint="eastAsia"/>
          <w:b/>
          <w:sz w:val="32"/>
          <w:szCs w:val="32"/>
        </w:rPr>
        <w:t>其次，</w:t>
      </w:r>
      <w:r>
        <w:rPr>
          <w:rFonts w:hint="eastAsia"/>
          <w:sz w:val="32"/>
          <w:szCs w:val="32"/>
        </w:rPr>
        <w:t>龙华区人力资源局发布的《深圳市龙华区2019年技能人才引进紧缺职业目录》（以下简称《职业目录》，详见附件</w:t>
      </w:r>
      <w:r>
        <w:rPr>
          <w:sz w:val="32"/>
          <w:szCs w:val="32"/>
        </w:rPr>
        <w:t>6</w:t>
      </w:r>
      <w:r>
        <w:rPr>
          <w:rFonts w:hint="eastAsia"/>
          <w:sz w:val="32"/>
          <w:szCs w:val="32"/>
        </w:rPr>
        <w:t>）明确了紧缺的技能人才工种，区住建局也未在《职业目录》发布后，及时对重点企业人才职业资格的工种类别进行调整，导致部分租房补贴资金流向龙华区非紧缺工种。</w:t>
      </w:r>
    </w:p>
    <w:p>
      <w:pPr>
        <w:widowControl/>
        <w:spacing w:line="560" w:lineRule="exact"/>
        <w:ind w:firstLine="643" w:firstLineChars="200"/>
        <w:rPr>
          <w:sz w:val="32"/>
          <w:szCs w:val="32"/>
          <w:lang w:val="en-US"/>
        </w:rPr>
      </w:pPr>
      <w:r>
        <w:rPr>
          <w:rFonts w:hint="eastAsia"/>
          <w:b/>
          <w:sz w:val="32"/>
          <w:szCs w:val="32"/>
        </w:rPr>
        <w:t>二是未要求劳动合同签订主体和社保代扣代缴主体相一致。</w:t>
      </w:r>
      <w:r>
        <w:rPr>
          <w:rFonts w:hint="eastAsia"/>
          <w:sz w:val="32"/>
          <w:szCs w:val="32"/>
        </w:rPr>
        <w:t>劳动合同签订主体和社保代扣代缴主体相一致，才能有效保障补贴资金拨付给符合龙华区认定资格的重点企业并发放给本企业符合条件的人才，避免部分不符合要求的企业或人员“钻空子”，套取财政补贴资金。评价发现，区住建局于</w:t>
      </w:r>
      <w:r>
        <w:rPr>
          <w:sz w:val="32"/>
          <w:szCs w:val="32"/>
        </w:rPr>
        <w:t>2020</w:t>
      </w:r>
      <w:r>
        <w:rPr>
          <w:rFonts w:hint="eastAsia"/>
          <w:sz w:val="32"/>
          <w:szCs w:val="32"/>
        </w:rPr>
        <w:t>年初对《龙华区</w:t>
      </w:r>
      <w:r>
        <w:rPr>
          <w:sz w:val="32"/>
          <w:szCs w:val="32"/>
        </w:rPr>
        <w:t>2020</w:t>
      </w:r>
      <w:r>
        <w:rPr>
          <w:rFonts w:hint="eastAsia"/>
          <w:sz w:val="32"/>
          <w:szCs w:val="32"/>
        </w:rPr>
        <w:t>年重点企业人才租房货币补贴合同》进行修订，合同约定“每位人才与单位签订全职劳动合同且处于有效期，并在本单位正常缴纳社保，本单位须及时提供每位人才在享受补贴期间相对应的社保清单”，但</w:t>
      </w:r>
      <w:r>
        <w:rPr>
          <w:sz w:val="32"/>
          <w:szCs w:val="32"/>
        </w:rPr>
        <w:t>2016-2019</w:t>
      </w:r>
      <w:r>
        <w:rPr>
          <w:rFonts w:hint="eastAsia"/>
          <w:sz w:val="32"/>
          <w:szCs w:val="32"/>
        </w:rPr>
        <w:t>年均未有此规定</w:t>
      </w:r>
      <w:r>
        <w:rPr>
          <w:sz w:val="32"/>
          <w:szCs w:val="32"/>
        </w:rPr>
        <w:t>，仅要求申请补贴人员与重点企业签订有全职劳动合同，在龙华区或在深圳市缴纳社保（各年度关于劳动合同及社保关系的核查要求详见表4-1）。</w:t>
      </w:r>
      <w:r>
        <w:rPr>
          <w:rFonts w:hint="eastAsia"/>
          <w:b/>
          <w:sz w:val="32"/>
          <w:szCs w:val="32"/>
          <w:lang w:val="en-US"/>
        </w:rPr>
        <w:t>三是</w:t>
      </w:r>
      <w:r>
        <w:rPr>
          <w:rFonts w:hint="eastAsia" w:ascii="Times New Roman" w:hAnsi="Times New Roman"/>
          <w:b/>
          <w:bCs w:val="0"/>
          <w:kern w:val="2"/>
          <w:sz w:val="32"/>
          <w:szCs w:val="32"/>
          <w:lang w:val="en-US"/>
        </w:rPr>
        <w:t>违规企业惩戒措施</w:t>
      </w:r>
      <w:r>
        <w:rPr>
          <w:rFonts w:hint="eastAsia"/>
          <w:b/>
          <w:bCs w:val="0"/>
          <w:kern w:val="2"/>
          <w:sz w:val="32"/>
          <w:szCs w:val="32"/>
          <w:lang w:val="en-US" w:eastAsia="zh-CN"/>
        </w:rPr>
        <w:t>的相关</w:t>
      </w:r>
      <w:r>
        <w:rPr>
          <w:rFonts w:hint="eastAsia" w:ascii="Times New Roman" w:hAnsi="Times New Roman"/>
          <w:b/>
          <w:bCs w:val="0"/>
          <w:kern w:val="2"/>
          <w:sz w:val="32"/>
          <w:szCs w:val="32"/>
          <w:lang w:val="en-US"/>
        </w:rPr>
        <w:t>规定</w:t>
      </w:r>
      <w:r>
        <w:rPr>
          <w:rFonts w:hint="eastAsia"/>
          <w:b/>
          <w:sz w:val="32"/>
          <w:szCs w:val="32"/>
        </w:rPr>
        <w:t>可操作性</w:t>
      </w:r>
      <w:r>
        <w:rPr>
          <w:rFonts w:hint="eastAsia" w:ascii="Times New Roman" w:hAnsi="Times New Roman"/>
          <w:b/>
          <w:kern w:val="2"/>
          <w:sz w:val="32"/>
          <w:szCs w:val="32"/>
          <w:lang w:val="en-US"/>
        </w:rPr>
        <w:t>不足</w:t>
      </w:r>
      <w:r>
        <w:rPr>
          <w:rFonts w:hint="eastAsia" w:ascii="Times New Roman" w:hAnsi="Times New Roman"/>
          <w:b/>
          <w:bCs w:val="0"/>
          <w:kern w:val="2"/>
          <w:sz w:val="32"/>
          <w:szCs w:val="32"/>
          <w:lang w:val="en-US"/>
        </w:rPr>
        <w:t>。</w:t>
      </w:r>
      <w:r>
        <w:rPr>
          <w:rFonts w:hint="eastAsia"/>
          <w:sz w:val="32"/>
          <w:szCs w:val="32"/>
        </w:rPr>
        <w:t>《工作方案》要求：经核实确认存在违反规定情形的，追回多得补贴，并依据区相关规定将其纳入不良行为册，且未来</w:t>
      </w:r>
      <w:r>
        <w:rPr>
          <w:sz w:val="32"/>
          <w:szCs w:val="32"/>
        </w:rPr>
        <w:t>3年内不再受理该单位的人才安居保障及区其它优惠政策的申请。评价发现，区住建局对已发现的存在违反规定情形的公司已追回补贴资金，并在未来3年内不再受理该单位的人才安居保障，但</w:t>
      </w:r>
      <w:r>
        <w:rPr>
          <w:rFonts w:hint="eastAsia"/>
          <w:sz w:val="32"/>
          <w:szCs w:val="32"/>
        </w:rPr>
        <w:t>目前龙华区尚未建立区级企业不良行为册。</w:t>
      </w:r>
    </w:p>
    <w:p>
      <w:pPr>
        <w:keepNext/>
        <w:keepLines/>
        <w:widowControl/>
        <w:spacing w:line="560" w:lineRule="exact"/>
        <w:ind w:firstLine="643" w:firstLineChars="200"/>
        <w:jc w:val="left"/>
        <w:outlineLvl w:val="1"/>
        <w:rPr>
          <w:rFonts w:eastAsia="楷体_GB2312"/>
          <w:b/>
          <w:bCs/>
          <w:kern w:val="0"/>
          <w:sz w:val="32"/>
          <w:szCs w:val="32"/>
        </w:rPr>
      </w:pPr>
      <w:bookmarkStart w:id="163" w:name="_Toc89775685"/>
      <w:r>
        <w:rPr>
          <w:rFonts w:eastAsia="楷体_GB2312"/>
          <w:b/>
          <w:bCs/>
          <w:kern w:val="0"/>
          <w:sz w:val="32"/>
          <w:szCs w:val="32"/>
        </w:rPr>
        <w:t>（</w:t>
      </w:r>
      <w:r>
        <w:rPr>
          <w:rFonts w:hint="eastAsia" w:eastAsia="楷体_GB2312"/>
          <w:b/>
          <w:bCs/>
          <w:kern w:val="0"/>
          <w:sz w:val="32"/>
          <w:szCs w:val="32"/>
        </w:rPr>
        <w:t>二</w:t>
      </w:r>
      <w:r>
        <w:rPr>
          <w:rFonts w:eastAsia="楷体_GB2312"/>
          <w:b/>
          <w:bCs/>
          <w:kern w:val="0"/>
          <w:sz w:val="32"/>
          <w:szCs w:val="32"/>
        </w:rPr>
        <w:t>）租房补贴预算调整幅度大，财政资金使用效率低</w:t>
      </w:r>
      <w:bookmarkEnd w:id="163"/>
    </w:p>
    <w:p>
      <w:pPr>
        <w:pStyle w:val="15"/>
        <w:keepNext w:val="0"/>
        <w:keepLines w:val="0"/>
        <w:spacing w:after="0"/>
        <w:jc w:val="left"/>
        <w:rPr>
          <w:rFonts w:ascii="Times New Roman" w:cs="Times New Roman"/>
          <w:bCs w:val="0"/>
        </w:rPr>
      </w:pPr>
      <w:bookmarkStart w:id="164" w:name="_Toc89703537"/>
      <w:bookmarkStart w:id="165" w:name="_Toc89764135"/>
      <w:bookmarkStart w:id="166" w:name="_Toc89775686"/>
      <w:r>
        <w:rPr>
          <w:rFonts w:ascii="Times New Roman" w:cs="Times New Roman"/>
          <w:bCs w:val="0"/>
        </w:rPr>
        <w:t>1.敞口申报，年度预算资金无法满足资金拨付需求，年度预算调整幅度大</w:t>
      </w:r>
      <w:bookmarkEnd w:id="164"/>
      <w:bookmarkEnd w:id="165"/>
      <w:bookmarkEnd w:id="166"/>
    </w:p>
    <w:p>
      <w:pPr>
        <w:spacing w:line="560" w:lineRule="exact"/>
        <w:ind w:firstLine="640" w:firstLineChars="200"/>
        <w:rPr>
          <w:sz w:val="32"/>
          <w:szCs w:val="32"/>
        </w:rPr>
      </w:pPr>
      <w:r>
        <w:rPr>
          <w:sz w:val="32"/>
          <w:szCs w:val="32"/>
        </w:rPr>
        <w:t>当前，龙华区重点企业人才租房货币补贴采用敞口申报的方式，随着政策知晓度的提高，申报企业数量增加，从2016年的128家增加到2020年的206家，而随着企业的产值、税收、营收规模和人才规模的增长，企业申报的补贴配额也在增加，财政资金投入规模也随之增大。为了满足补贴资金拨付需求，2016-2020年的大部分年度，区住建局均申请了大幅度的预算调整。</w:t>
      </w:r>
    </w:p>
    <w:p>
      <w:pPr>
        <w:pStyle w:val="15"/>
        <w:keepNext w:val="0"/>
        <w:keepLines w:val="0"/>
        <w:spacing w:after="0"/>
        <w:jc w:val="left"/>
        <w:rPr>
          <w:rFonts w:ascii="Times New Roman" w:cs="Times New Roman"/>
          <w:bCs w:val="0"/>
        </w:rPr>
      </w:pPr>
      <w:bookmarkStart w:id="167" w:name="_Toc89775687"/>
      <w:bookmarkStart w:id="168" w:name="_Toc89703538"/>
      <w:bookmarkStart w:id="169" w:name="_Toc89764136"/>
      <w:r>
        <w:rPr>
          <w:rFonts w:ascii="Times New Roman" w:cs="Times New Roman"/>
          <w:bCs w:val="0"/>
        </w:rPr>
        <w:t>2.已拨付至重点企业资金大量沉淀，财政资金使用效率低</w:t>
      </w:r>
      <w:bookmarkEnd w:id="167"/>
      <w:bookmarkEnd w:id="168"/>
      <w:bookmarkEnd w:id="169"/>
    </w:p>
    <w:p>
      <w:pPr>
        <w:spacing w:line="560" w:lineRule="exact"/>
        <w:ind w:firstLine="643" w:firstLineChars="200"/>
        <w:rPr>
          <w:sz w:val="32"/>
          <w:szCs w:val="32"/>
          <w:highlight w:val="yellow"/>
        </w:rPr>
      </w:pPr>
      <w:r>
        <w:rPr>
          <w:b/>
          <w:sz w:val="32"/>
          <w:szCs w:val="32"/>
        </w:rPr>
        <w:t>分析认为造成退款的主要原因是重点企业申报的资金规模大于实际需求。</w:t>
      </w:r>
      <w:r>
        <w:rPr>
          <w:sz w:val="32"/>
          <w:szCs w:val="32"/>
        </w:rPr>
        <w:t>区住建局在重点企业人才租房货币补贴申请的第一阶段不对企业申报的人才规模进行重点审核，只根据相关标准按照企业的产值、营收等情况确定企业所能获得的资金配额，不超过企业所能获得的资金配额上限，即可通过审核。评价发现，</w:t>
      </w:r>
      <w:r>
        <w:rPr>
          <w:bCs/>
          <w:sz w:val="32"/>
          <w:szCs w:val="32"/>
        </w:rPr>
        <w:t>重点</w:t>
      </w:r>
      <w:r>
        <w:rPr>
          <w:sz w:val="32"/>
          <w:szCs w:val="32"/>
        </w:rPr>
        <w:t>企业通常会按照配额上限进行申报并获批拨付，但实际上大部分企业未有足够</w:t>
      </w:r>
      <w:r>
        <w:rPr>
          <w:rFonts w:hint="eastAsia"/>
          <w:sz w:val="32"/>
          <w:szCs w:val="32"/>
        </w:rPr>
        <w:t>多的</w:t>
      </w:r>
      <w:r>
        <w:rPr>
          <w:sz w:val="32"/>
          <w:szCs w:val="32"/>
        </w:rPr>
        <w:t>符合补贴条件的人才，造成大量剩余资金沉淀。</w:t>
      </w:r>
      <w:r>
        <w:rPr>
          <w:rFonts w:hint="eastAsia"/>
          <w:sz w:val="32"/>
          <w:szCs w:val="32"/>
        </w:rPr>
        <w:t>据不完全统计，2016-2019年需退回资金的358家企业中，因所获资金配额大于实际需求导致资金退回的有34</w:t>
      </w:r>
      <w:r>
        <w:rPr>
          <w:sz w:val="32"/>
          <w:szCs w:val="32"/>
        </w:rPr>
        <w:t>6</w:t>
      </w:r>
      <w:r>
        <w:rPr>
          <w:rFonts w:hint="eastAsia"/>
          <w:sz w:val="32"/>
          <w:szCs w:val="32"/>
        </w:rPr>
        <w:t>家，占退回资金企业总数的</w:t>
      </w:r>
      <w:r>
        <w:rPr>
          <w:sz w:val="32"/>
          <w:szCs w:val="32"/>
        </w:rPr>
        <w:t>96.65</w:t>
      </w:r>
      <w:r>
        <w:rPr>
          <w:rFonts w:hint="eastAsia"/>
          <w:sz w:val="32"/>
          <w:szCs w:val="32"/>
        </w:rPr>
        <w:t>%。区住建局拨付至该34</w:t>
      </w:r>
      <w:r>
        <w:rPr>
          <w:sz w:val="32"/>
          <w:szCs w:val="32"/>
        </w:rPr>
        <w:t>6</w:t>
      </w:r>
      <w:r>
        <w:rPr>
          <w:rFonts w:hint="eastAsia"/>
          <w:sz w:val="32"/>
          <w:szCs w:val="32"/>
        </w:rPr>
        <w:t>家企业的资金总量为</w:t>
      </w:r>
      <w:r>
        <w:rPr>
          <w:sz w:val="32"/>
          <w:szCs w:val="32"/>
        </w:rPr>
        <w:t>13,410.00</w:t>
      </w:r>
      <w:r>
        <w:rPr>
          <w:rFonts w:hint="eastAsia"/>
          <w:sz w:val="32"/>
          <w:szCs w:val="32"/>
        </w:rPr>
        <w:t>万元（占已拨付资金29,622.00万元的</w:t>
      </w:r>
      <w:r>
        <w:rPr>
          <w:sz w:val="32"/>
          <w:szCs w:val="32"/>
        </w:rPr>
        <w:t>45.27</w:t>
      </w:r>
      <w:r>
        <w:rPr>
          <w:rFonts w:hint="eastAsia"/>
          <w:sz w:val="32"/>
          <w:szCs w:val="32"/>
        </w:rPr>
        <w:t>%），需退回资金为5,</w:t>
      </w:r>
      <w:r>
        <w:rPr>
          <w:sz w:val="32"/>
          <w:szCs w:val="32"/>
        </w:rPr>
        <w:t>616.37</w:t>
      </w:r>
      <w:r>
        <w:rPr>
          <w:rFonts w:hint="eastAsia"/>
          <w:sz w:val="32"/>
          <w:szCs w:val="32"/>
        </w:rPr>
        <w:t>万元（占需退回资金6,113.40万元的</w:t>
      </w:r>
      <w:r>
        <w:rPr>
          <w:sz w:val="32"/>
          <w:szCs w:val="32"/>
        </w:rPr>
        <w:t>91.87</w:t>
      </w:r>
      <w:r>
        <w:rPr>
          <w:rFonts w:hint="eastAsia"/>
          <w:sz w:val="32"/>
          <w:szCs w:val="32"/>
        </w:rPr>
        <w:t>%），退回比例为</w:t>
      </w:r>
      <w:r>
        <w:rPr>
          <w:sz w:val="32"/>
          <w:szCs w:val="32"/>
        </w:rPr>
        <w:t>41.88</w:t>
      </w:r>
      <w:r>
        <w:rPr>
          <w:rFonts w:hint="eastAsia"/>
          <w:sz w:val="32"/>
          <w:szCs w:val="32"/>
        </w:rPr>
        <w:t>%。</w:t>
      </w:r>
    </w:p>
    <w:bookmarkEnd w:id="156"/>
    <w:bookmarkEnd w:id="157"/>
    <w:bookmarkEnd w:id="158"/>
    <w:bookmarkEnd w:id="159"/>
    <w:bookmarkEnd w:id="160"/>
    <w:bookmarkEnd w:id="161"/>
    <w:bookmarkEnd w:id="162"/>
    <w:p>
      <w:pPr>
        <w:keepNext/>
        <w:keepLines/>
        <w:widowControl/>
        <w:spacing w:line="560" w:lineRule="exact"/>
        <w:ind w:firstLine="643" w:firstLineChars="200"/>
        <w:jc w:val="left"/>
        <w:outlineLvl w:val="1"/>
        <w:rPr>
          <w:rFonts w:eastAsia="楷体_GB2312"/>
          <w:b/>
          <w:bCs/>
          <w:kern w:val="0"/>
          <w:sz w:val="32"/>
          <w:szCs w:val="32"/>
        </w:rPr>
      </w:pPr>
      <w:bookmarkStart w:id="170" w:name="_Toc31553"/>
      <w:bookmarkStart w:id="171" w:name="_Toc30719"/>
      <w:bookmarkStart w:id="172" w:name="_Toc22504"/>
      <w:bookmarkStart w:id="173" w:name="_Toc89775688"/>
      <w:bookmarkStart w:id="174" w:name="_Toc3019"/>
      <w:bookmarkStart w:id="175" w:name="_Toc87369835"/>
      <w:bookmarkStart w:id="176" w:name="_Toc88656185"/>
      <w:bookmarkStart w:id="177" w:name="_Toc21784"/>
      <w:r>
        <w:rPr>
          <w:rFonts w:eastAsia="楷体_GB2312"/>
          <w:b/>
          <w:bCs/>
          <w:kern w:val="0"/>
          <w:sz w:val="32"/>
          <w:szCs w:val="32"/>
        </w:rPr>
        <w:t>（三）监督管理较为滞后，惩戒工作执行不力</w:t>
      </w:r>
      <w:bookmarkEnd w:id="170"/>
      <w:bookmarkEnd w:id="171"/>
      <w:bookmarkEnd w:id="172"/>
      <w:bookmarkEnd w:id="173"/>
      <w:bookmarkEnd w:id="174"/>
      <w:bookmarkEnd w:id="175"/>
      <w:bookmarkEnd w:id="176"/>
      <w:bookmarkEnd w:id="177"/>
    </w:p>
    <w:p>
      <w:pPr>
        <w:spacing w:line="560" w:lineRule="exact"/>
        <w:ind w:firstLine="640" w:firstLineChars="200"/>
        <w:rPr>
          <w:sz w:val="32"/>
          <w:szCs w:val="32"/>
        </w:rPr>
      </w:pPr>
      <w:r>
        <w:rPr>
          <w:rFonts w:hint="eastAsia"/>
          <w:sz w:val="32"/>
          <w:szCs w:val="32"/>
        </w:rPr>
        <w:t>《工作方案》</w:t>
      </w:r>
      <w:r>
        <w:rPr>
          <w:sz w:val="32"/>
          <w:szCs w:val="32"/>
        </w:rPr>
        <w:t>规定</w:t>
      </w:r>
      <w:r>
        <w:rPr>
          <w:rFonts w:hint="eastAsia"/>
          <w:sz w:val="32"/>
          <w:szCs w:val="32"/>
        </w:rPr>
        <w:t>：</w:t>
      </w:r>
      <w:r>
        <w:rPr>
          <w:sz w:val="32"/>
          <w:szCs w:val="32"/>
        </w:rPr>
        <w:t>企业应在1个年度内完成全部货币补贴发放工作，并分4个季度上传申请人材料及发放明细表，经区住建局审核通过后予以发放</w:t>
      </w:r>
      <w:r>
        <w:rPr>
          <w:rFonts w:hint="eastAsia"/>
          <w:sz w:val="32"/>
          <w:szCs w:val="32"/>
        </w:rPr>
        <w:t>。</w:t>
      </w:r>
      <w:r>
        <w:rPr>
          <w:sz w:val="32"/>
          <w:szCs w:val="32"/>
        </w:rPr>
        <w:t>由区住建局负责抽检重点企业人才租房货币补贴发放情况。对于经抽检发现存在问题的企业，可向区住建局提出申诉。</w:t>
      </w:r>
      <w:bookmarkStart w:id="178" w:name="_Hlk85552379"/>
      <w:r>
        <w:rPr>
          <w:sz w:val="32"/>
          <w:szCs w:val="32"/>
        </w:rPr>
        <w:t>经核实确认存在违反规定情形的，由区住建局追回多得补贴。</w:t>
      </w:r>
      <w:bookmarkEnd w:id="178"/>
      <w:r>
        <w:rPr>
          <w:sz w:val="32"/>
          <w:szCs w:val="32"/>
        </w:rPr>
        <w:t>但评价发现，上述监管要求区住建局并未履行到位，具体体现在：</w:t>
      </w:r>
    </w:p>
    <w:p>
      <w:pPr>
        <w:pStyle w:val="15"/>
        <w:keepNext w:val="0"/>
        <w:keepLines w:val="0"/>
        <w:spacing w:after="0"/>
        <w:jc w:val="left"/>
        <w:rPr>
          <w:rFonts w:ascii="Times New Roman" w:cs="Times New Roman"/>
          <w:bCs w:val="0"/>
        </w:rPr>
      </w:pPr>
      <w:bookmarkStart w:id="179" w:name="_Toc89775689"/>
      <w:bookmarkStart w:id="180" w:name="_Toc89703540"/>
      <w:bookmarkStart w:id="181" w:name="_Toc86135451"/>
      <w:bookmarkStart w:id="182" w:name="_Toc31169"/>
      <w:bookmarkStart w:id="183" w:name="_Toc85561088"/>
      <w:bookmarkStart w:id="184" w:name="_Toc26449"/>
      <w:bookmarkStart w:id="185" w:name="_Toc15236"/>
      <w:bookmarkStart w:id="186" w:name="_Toc88656186"/>
      <w:bookmarkStart w:id="187" w:name="_Toc6455"/>
      <w:bookmarkStart w:id="188" w:name="_Toc87369836"/>
      <w:bookmarkStart w:id="189" w:name="_Toc18987"/>
      <w:bookmarkStart w:id="190" w:name="_Toc89764138"/>
      <w:bookmarkStart w:id="191" w:name="_Toc28666"/>
      <w:r>
        <w:rPr>
          <w:rFonts w:ascii="Times New Roman" w:cs="Times New Roman"/>
          <w:bCs w:val="0"/>
        </w:rPr>
        <w:t>1.未在每年度抽检重点企业人才租房货币补贴发放情况</w:t>
      </w:r>
      <w:bookmarkEnd w:id="179"/>
      <w:bookmarkEnd w:id="180"/>
      <w:bookmarkEnd w:id="181"/>
      <w:bookmarkEnd w:id="182"/>
      <w:bookmarkEnd w:id="183"/>
      <w:bookmarkEnd w:id="184"/>
      <w:bookmarkEnd w:id="185"/>
      <w:bookmarkEnd w:id="186"/>
      <w:bookmarkEnd w:id="187"/>
      <w:bookmarkEnd w:id="188"/>
      <w:bookmarkEnd w:id="189"/>
      <w:bookmarkEnd w:id="190"/>
      <w:bookmarkEnd w:id="191"/>
    </w:p>
    <w:p>
      <w:pPr>
        <w:spacing w:line="560" w:lineRule="exact"/>
        <w:ind w:firstLine="640" w:firstLineChars="200"/>
        <w:rPr>
          <w:sz w:val="32"/>
          <w:szCs w:val="32"/>
        </w:rPr>
      </w:pPr>
      <w:r>
        <w:rPr>
          <w:rFonts w:hint="eastAsia"/>
          <w:sz w:val="32"/>
          <w:szCs w:val="32"/>
        </w:rPr>
        <w:t>区住建局并未每年度抽查重点企业人才租房货币补贴发放情况，仅让重点企业上传年度人员清单（含盖章版发放明细表、员工签字和指纹），未实际抽检重点企业相关补贴发放材料，如重点企业发放补贴资金到人才的银行回单。评价发现，有部分人才签字为代签，企业上传的年度人员清单可靠性不足。</w:t>
      </w:r>
      <w:r>
        <w:rPr>
          <w:sz w:val="32"/>
          <w:szCs w:val="32"/>
        </w:rPr>
        <w:t>2020</w:t>
      </w:r>
      <w:r>
        <w:rPr>
          <w:rFonts w:hint="eastAsia"/>
          <w:sz w:val="32"/>
          <w:szCs w:val="32"/>
        </w:rPr>
        <w:t>年</w:t>
      </w:r>
      <w:r>
        <w:rPr>
          <w:sz w:val="32"/>
          <w:szCs w:val="32"/>
        </w:rPr>
        <w:t>12</w:t>
      </w:r>
      <w:r>
        <w:rPr>
          <w:rFonts w:hint="eastAsia"/>
          <w:sz w:val="32"/>
          <w:szCs w:val="32"/>
        </w:rPr>
        <w:t>月，区住建局才聘请第三方审计机构对</w:t>
      </w:r>
      <w:r>
        <w:rPr>
          <w:sz w:val="32"/>
          <w:szCs w:val="32"/>
        </w:rPr>
        <w:t>2017</w:t>
      </w:r>
      <w:r>
        <w:rPr>
          <w:rFonts w:hint="eastAsia"/>
          <w:sz w:val="32"/>
          <w:szCs w:val="32"/>
        </w:rPr>
        <w:t>年、</w:t>
      </w:r>
      <w:r>
        <w:rPr>
          <w:sz w:val="32"/>
          <w:szCs w:val="32"/>
        </w:rPr>
        <w:t>2018</w:t>
      </w:r>
      <w:r>
        <w:rPr>
          <w:rFonts w:hint="eastAsia"/>
          <w:sz w:val="32"/>
          <w:szCs w:val="32"/>
        </w:rPr>
        <w:t>年的补贴资金进行审计，监督管理措施滞后。</w:t>
      </w:r>
    </w:p>
    <w:p>
      <w:pPr>
        <w:pStyle w:val="15"/>
        <w:keepNext w:val="0"/>
        <w:keepLines w:val="0"/>
        <w:spacing w:after="0"/>
        <w:jc w:val="left"/>
        <w:rPr>
          <w:rFonts w:ascii="Times New Roman" w:cs="Times New Roman"/>
          <w:bCs w:val="0"/>
        </w:rPr>
      </w:pPr>
      <w:bookmarkStart w:id="192" w:name="_Toc28598"/>
      <w:bookmarkStart w:id="193" w:name="_Toc25588"/>
      <w:bookmarkStart w:id="194" w:name="_Toc27694"/>
      <w:bookmarkStart w:id="195" w:name="_Toc89775690"/>
      <w:bookmarkStart w:id="196" w:name="_Toc88656187"/>
      <w:bookmarkStart w:id="197" w:name="_Toc89703541"/>
      <w:bookmarkStart w:id="198" w:name="_Toc27397"/>
      <w:bookmarkStart w:id="199" w:name="_Toc85561089"/>
      <w:bookmarkStart w:id="200" w:name="_Toc782"/>
      <w:bookmarkStart w:id="201" w:name="_Toc87369837"/>
      <w:bookmarkStart w:id="202" w:name="_Toc89764139"/>
      <w:bookmarkStart w:id="203" w:name="_Toc7367"/>
      <w:bookmarkStart w:id="204" w:name="_Toc86135452"/>
      <w:r>
        <w:rPr>
          <w:rFonts w:ascii="Times New Roman" w:cs="Times New Roman"/>
          <w:bCs w:val="0"/>
        </w:rPr>
        <w:t>2.未能及时发现补贴资金使用不合规的情况</w:t>
      </w:r>
      <w:bookmarkEnd w:id="192"/>
      <w:bookmarkEnd w:id="193"/>
      <w:bookmarkEnd w:id="194"/>
      <w:bookmarkEnd w:id="195"/>
      <w:bookmarkEnd w:id="196"/>
      <w:bookmarkEnd w:id="197"/>
      <w:bookmarkEnd w:id="198"/>
      <w:bookmarkEnd w:id="199"/>
      <w:bookmarkEnd w:id="200"/>
      <w:bookmarkEnd w:id="201"/>
      <w:bookmarkEnd w:id="202"/>
      <w:bookmarkEnd w:id="203"/>
      <w:bookmarkEnd w:id="204"/>
    </w:p>
    <w:p>
      <w:pPr>
        <w:spacing w:line="560" w:lineRule="exact"/>
        <w:ind w:firstLine="640" w:firstLineChars="200"/>
        <w:rPr>
          <w:sz w:val="32"/>
          <w:szCs w:val="32"/>
        </w:rPr>
      </w:pPr>
      <w:r>
        <w:rPr>
          <w:sz w:val="32"/>
          <w:szCs w:val="32"/>
        </w:rPr>
        <w:t>由于区住建局未能在每年度常态化抽检重点企业人才货币补贴资金的发放情况，导致其无法及时发现重点企业补贴资金使用不合规的情况，主要体现在：</w:t>
      </w:r>
    </w:p>
    <w:p>
      <w:pPr>
        <w:spacing w:line="560" w:lineRule="exact"/>
        <w:ind w:firstLine="643" w:firstLineChars="200"/>
        <w:rPr>
          <w:sz w:val="32"/>
          <w:szCs w:val="32"/>
        </w:rPr>
      </w:pPr>
      <w:r>
        <w:rPr>
          <w:b/>
          <w:bCs/>
          <w:sz w:val="32"/>
          <w:szCs w:val="32"/>
        </w:rPr>
        <w:t>一是未能及时发现个别重点企业将补贴资金挪作它用的行为。</w:t>
      </w:r>
      <w:r>
        <w:rPr>
          <w:b/>
          <w:sz w:val="32"/>
          <w:szCs w:val="32"/>
        </w:rPr>
        <w:t>例如，</w:t>
      </w:r>
      <w:r>
        <w:rPr>
          <w:sz w:val="32"/>
          <w:szCs w:val="32"/>
        </w:rPr>
        <w:t>深圳市京泉华科技股份有限公司在使用2016年度补贴资金过程中存在不合规情况。区住建局于2016年12月向该公司拨付补贴资金48.00万元，并按工作流程审核了该公司的申报人员材料。根据工作方案要求，该公司应将补贴资金在2017年年底前，全部面向本企业人才发放，但该公司实际仅向人才发放补贴资金24.10万元，另有23.90万元被该公司人力资源总监用于员工宿舍设备的采购，未发放到人才手中。</w:t>
      </w:r>
    </w:p>
    <w:p>
      <w:pPr>
        <w:spacing w:line="560" w:lineRule="exact"/>
        <w:ind w:firstLine="643" w:firstLineChars="200"/>
        <w:rPr>
          <w:sz w:val="32"/>
          <w:szCs w:val="32"/>
        </w:rPr>
      </w:pPr>
      <w:r>
        <w:rPr>
          <w:b/>
          <w:bCs/>
          <w:sz w:val="32"/>
          <w:szCs w:val="32"/>
        </w:rPr>
        <w:t>二是未能及时发现个别重点企业不以货币形式发放补贴的行为。</w:t>
      </w:r>
      <w:r>
        <w:rPr>
          <w:b/>
          <w:sz w:val="32"/>
          <w:szCs w:val="32"/>
        </w:rPr>
        <w:t>例如，</w:t>
      </w:r>
      <w:r>
        <w:rPr>
          <w:sz w:val="32"/>
          <w:szCs w:val="32"/>
        </w:rPr>
        <w:t>深圳市格瑞普电池有限公司在2017年、2018年未以货币形式发放补贴给人才，涉及补贴金额86.40万元，补贴人数31人。该公司以分配套房居住的形式作为补贴，与《重点企业人才租房货币补贴工作方案》规定的保障方式“本次租房补贴采取发放货币补贴的方式”不符。</w:t>
      </w:r>
    </w:p>
    <w:p>
      <w:pPr>
        <w:spacing w:line="560" w:lineRule="exact"/>
        <w:ind w:firstLine="643" w:firstLineChars="200"/>
        <w:rPr>
          <w:sz w:val="32"/>
          <w:szCs w:val="32"/>
        </w:rPr>
      </w:pPr>
      <w:r>
        <w:rPr>
          <w:b/>
          <w:bCs/>
          <w:sz w:val="32"/>
          <w:szCs w:val="32"/>
        </w:rPr>
        <w:t>三是未收回未在规定时间内发放的补贴资金</w:t>
      </w:r>
      <w:r>
        <w:rPr>
          <w:sz w:val="32"/>
          <w:szCs w:val="32"/>
        </w:rPr>
        <w:t>。2020年，经区住建局委托的第三方会计师事务所审计发现，深圳市思榕科技有限公司2017年度补贴资金24万元未发放，审计发现后该公司立即予以全额补发，区住建局</w:t>
      </w:r>
      <w:r>
        <w:rPr>
          <w:rFonts w:hint="eastAsia"/>
          <w:sz w:val="32"/>
          <w:szCs w:val="32"/>
        </w:rPr>
        <w:t>未</w:t>
      </w:r>
      <w:r>
        <w:rPr>
          <w:rFonts w:hint="eastAsia"/>
          <w:sz w:val="32"/>
          <w:szCs w:val="32"/>
          <w:lang w:val="en-US" w:eastAsia="zh-CN"/>
        </w:rPr>
        <w:t>及时</w:t>
      </w:r>
      <w:r>
        <w:rPr>
          <w:sz w:val="32"/>
          <w:szCs w:val="32"/>
        </w:rPr>
        <w:t>要求该公司退回该笔补贴资金，不符合工作方案明确的“重点企业未在一个年度内发放给员工的资金须退回”的规定。</w:t>
      </w:r>
    </w:p>
    <w:p>
      <w:pPr>
        <w:keepNext/>
        <w:keepLines/>
        <w:widowControl/>
        <w:spacing w:line="560" w:lineRule="exact"/>
        <w:ind w:firstLine="643" w:firstLineChars="200"/>
        <w:jc w:val="left"/>
        <w:outlineLvl w:val="1"/>
        <w:rPr>
          <w:rFonts w:eastAsia="楷体_GB2312"/>
          <w:b/>
          <w:bCs/>
          <w:kern w:val="0"/>
          <w:sz w:val="32"/>
          <w:szCs w:val="32"/>
        </w:rPr>
      </w:pPr>
      <w:bookmarkStart w:id="205" w:name="_Toc89775692"/>
      <w:bookmarkStart w:id="206" w:name="_Toc8337"/>
      <w:bookmarkStart w:id="207" w:name="_Toc17459"/>
      <w:bookmarkStart w:id="208" w:name="_Toc17719"/>
      <w:bookmarkStart w:id="209" w:name="_Toc19177"/>
      <w:bookmarkStart w:id="210" w:name="_Toc87369839"/>
      <w:bookmarkStart w:id="211" w:name="_Toc88656189"/>
      <w:bookmarkStart w:id="212" w:name="_Toc29255"/>
      <w:r>
        <w:rPr>
          <w:rFonts w:eastAsia="楷体_GB2312"/>
          <w:b/>
          <w:bCs/>
          <w:kern w:val="0"/>
          <w:sz w:val="32"/>
          <w:szCs w:val="32"/>
        </w:rPr>
        <w:t>（</w:t>
      </w:r>
      <w:r>
        <w:rPr>
          <w:rFonts w:hint="eastAsia" w:eastAsia="楷体_GB2312"/>
          <w:b/>
          <w:bCs/>
          <w:kern w:val="0"/>
          <w:sz w:val="32"/>
          <w:szCs w:val="32"/>
        </w:rPr>
        <w:t>四</w:t>
      </w:r>
      <w:r>
        <w:rPr>
          <w:rFonts w:eastAsia="楷体_GB2312"/>
          <w:b/>
          <w:bCs/>
          <w:kern w:val="0"/>
          <w:sz w:val="32"/>
          <w:szCs w:val="32"/>
        </w:rPr>
        <w:t>）</w:t>
      </w:r>
      <w:r>
        <w:rPr>
          <w:rFonts w:hint="eastAsia" w:eastAsia="楷体_GB2312"/>
          <w:b/>
          <w:bCs/>
          <w:kern w:val="0"/>
          <w:sz w:val="32"/>
          <w:szCs w:val="32"/>
        </w:rPr>
        <w:t>项目实施效果不明显，成本效益不佳</w:t>
      </w:r>
      <w:bookmarkEnd w:id="205"/>
    </w:p>
    <w:p>
      <w:pPr>
        <w:pStyle w:val="15"/>
        <w:keepNext w:val="0"/>
        <w:keepLines w:val="0"/>
        <w:spacing w:after="0"/>
        <w:jc w:val="left"/>
        <w:rPr>
          <w:sz w:val="32"/>
          <w:szCs w:val="32"/>
        </w:rPr>
      </w:pPr>
      <w:bookmarkStart w:id="213" w:name="_Toc89703544"/>
      <w:bookmarkStart w:id="214" w:name="_Toc89764142"/>
      <w:bookmarkStart w:id="215" w:name="_Toc89775693"/>
      <w:r>
        <w:rPr>
          <w:rFonts w:hint="eastAsia" w:ascii="Times New Roman" w:cs="Times New Roman"/>
          <w:bCs w:val="0"/>
        </w:rPr>
        <w:t>1</w:t>
      </w:r>
      <w:r>
        <w:rPr>
          <w:rFonts w:ascii="Times New Roman" w:cs="Times New Roman"/>
          <w:bCs w:val="0"/>
        </w:rPr>
        <w:t>.补贴惠及人才数量总体呈现上升趋势，但人才结构未见明显提升</w:t>
      </w:r>
      <w:bookmarkEnd w:id="206"/>
      <w:bookmarkEnd w:id="207"/>
      <w:bookmarkEnd w:id="208"/>
      <w:bookmarkEnd w:id="209"/>
      <w:bookmarkEnd w:id="213"/>
      <w:bookmarkEnd w:id="214"/>
      <w:bookmarkEnd w:id="215"/>
    </w:p>
    <w:p>
      <w:pPr>
        <w:widowControl/>
        <w:spacing w:line="560" w:lineRule="exact"/>
        <w:ind w:firstLine="643" w:firstLineChars="200"/>
        <w:rPr>
          <w:color w:val="FF0000"/>
          <w:sz w:val="32"/>
          <w:szCs w:val="32"/>
        </w:rPr>
      </w:pPr>
      <w:r>
        <w:rPr>
          <w:rFonts w:hint="eastAsia" w:ascii="仿宋_GB2312"/>
          <w:b/>
          <w:sz w:val="32"/>
          <w:szCs w:val="32"/>
        </w:rPr>
        <w:t>分析同时发现，相较于《职业目录》和其他行政区要求，龙华区对人才持有职业资格的等级要求</w:t>
      </w:r>
      <w:r>
        <w:rPr>
          <w:rStyle w:val="12"/>
          <w:rFonts w:hint="eastAsia" w:ascii="仿宋_GB2312"/>
          <w:b/>
          <w:sz w:val="32"/>
          <w:szCs w:val="32"/>
        </w:rPr>
        <w:footnoteReference w:id="2"/>
      </w:r>
      <w:r>
        <w:rPr>
          <w:rFonts w:hint="eastAsia" w:ascii="仿宋_GB2312"/>
          <w:b/>
          <w:sz w:val="32"/>
          <w:szCs w:val="32"/>
        </w:rPr>
        <w:t>比较低，大部分获得补贴人才持有四级或五级职业资格，虽然该部分人才数量呈现上升趋势，但该部分人才结构未得到提升。</w:t>
      </w:r>
    </w:p>
    <w:p>
      <w:pPr>
        <w:pStyle w:val="15"/>
        <w:keepNext w:val="0"/>
        <w:keepLines w:val="0"/>
        <w:spacing w:after="0"/>
        <w:jc w:val="left"/>
        <w:rPr>
          <w:rFonts w:ascii="Times New Roman" w:cs="Times New Roman"/>
          <w:bCs w:val="0"/>
        </w:rPr>
      </w:pPr>
      <w:bookmarkStart w:id="216" w:name="_Toc89775694"/>
      <w:bookmarkStart w:id="217" w:name="_Toc89764143"/>
      <w:bookmarkStart w:id="218" w:name="_Toc89703545"/>
      <w:bookmarkStart w:id="219" w:name="_Toc20903"/>
      <w:bookmarkStart w:id="220" w:name="_Toc28787"/>
      <w:bookmarkStart w:id="221" w:name="_Toc6720"/>
      <w:bookmarkStart w:id="222" w:name="_Toc12425"/>
      <w:r>
        <w:rPr>
          <w:rFonts w:hint="eastAsia" w:ascii="Times New Roman" w:cs="Times New Roman"/>
          <w:bCs w:val="0"/>
        </w:rPr>
        <w:t>2</w:t>
      </w:r>
      <w:r>
        <w:rPr>
          <w:rFonts w:ascii="Times New Roman" w:cs="Times New Roman"/>
          <w:bCs w:val="0"/>
        </w:rPr>
        <w:t>.获得货币补贴人才的离职率</w:t>
      </w:r>
      <w:r>
        <w:rPr>
          <w:rFonts w:hint="eastAsia" w:ascii="Times New Roman" w:cs="Times New Roman"/>
          <w:bCs w:val="0"/>
        </w:rPr>
        <w:t>未</w:t>
      </w:r>
      <w:r>
        <w:rPr>
          <w:rFonts w:hint="eastAsia" w:ascii="Times New Roman" w:cs="Times New Roman"/>
          <w:bCs w:val="0"/>
          <w:lang w:val="en-US" w:eastAsia="zh-CN"/>
        </w:rPr>
        <w:t>有效</w:t>
      </w:r>
      <w:r>
        <w:rPr>
          <w:rFonts w:hint="eastAsia" w:ascii="Times New Roman" w:cs="Times New Roman"/>
          <w:bCs w:val="0"/>
        </w:rPr>
        <w:t>降低，留才效果不明显</w:t>
      </w:r>
      <w:bookmarkEnd w:id="216"/>
      <w:bookmarkEnd w:id="217"/>
      <w:bookmarkEnd w:id="218"/>
      <w:bookmarkEnd w:id="219"/>
      <w:bookmarkEnd w:id="220"/>
      <w:bookmarkEnd w:id="221"/>
      <w:bookmarkEnd w:id="222"/>
    </w:p>
    <w:p>
      <w:pPr>
        <w:spacing w:line="560" w:lineRule="exact"/>
        <w:ind w:firstLine="643" w:firstLineChars="200"/>
        <w:rPr>
          <w:sz w:val="32"/>
          <w:szCs w:val="32"/>
        </w:rPr>
      </w:pPr>
      <w:r>
        <w:rPr>
          <w:b/>
          <w:bCs/>
          <w:sz w:val="32"/>
          <w:szCs w:val="32"/>
        </w:rPr>
        <w:t>一是对比租住保障性住房人才的离职率，获得货币补贴人才的离职率更高</w:t>
      </w:r>
      <w:r>
        <w:rPr>
          <w:sz w:val="32"/>
          <w:szCs w:val="32"/>
        </w:rPr>
        <w:t>。评价小组分别抽取2019-2020年获得重点企业人才租房货币补贴人才1500人和租住保障性住房的重点企业人才500人（对应申报年度为2018-2019年），通过区住建局公共资格查询系统导出人员社保缴纳明细，根据社保断缴情况分别查看两类人才群体的离职情况，其中获得货币补贴人才的社保断缴人数为398人，社保断缴率为26.53%；租住保障性住房人才的社保断缴人数为22人，社保断缴率为4.4%。</w:t>
      </w:r>
    </w:p>
    <w:p>
      <w:pPr>
        <w:pStyle w:val="15"/>
        <w:keepNext w:val="0"/>
        <w:keepLines w:val="0"/>
        <w:spacing w:after="0"/>
        <w:jc w:val="left"/>
        <w:rPr>
          <w:rFonts w:hint="eastAsia" w:eastAsia="仿宋_GB2312"/>
          <w:sz w:val="32"/>
          <w:szCs w:val="32"/>
          <w:lang w:eastAsia="zh-CN"/>
        </w:rPr>
      </w:pPr>
      <w:r>
        <w:rPr>
          <w:b/>
          <w:bCs/>
          <w:sz w:val="32"/>
          <w:szCs w:val="32"/>
        </w:rPr>
        <w:t>二是获得货币补贴人才的离职率高于一线城市离职率。</w:t>
      </w:r>
      <w:r>
        <w:rPr>
          <w:sz w:val="32"/>
          <w:szCs w:val="32"/>
        </w:rPr>
        <w:t>评价小组获取了前述38家重点企业中13家企业2019-2020年的获得货币补贴人才（对于申报年度为2018-2019年）的</w:t>
      </w:r>
      <w:r>
        <w:rPr>
          <w:rFonts w:hint="eastAsia"/>
          <w:sz w:val="32"/>
          <w:szCs w:val="32"/>
        </w:rPr>
        <w:t>2021年</w:t>
      </w:r>
      <w:r>
        <w:rPr>
          <w:sz w:val="32"/>
          <w:szCs w:val="32"/>
        </w:rPr>
        <w:t>离职数据并对离职率进行了统计，发现该13家企业2019年、2020年获得补贴人才的</w:t>
      </w:r>
      <w:r>
        <w:rPr>
          <w:rFonts w:hint="eastAsia"/>
          <w:sz w:val="32"/>
          <w:szCs w:val="32"/>
        </w:rPr>
        <w:t>2021年</w:t>
      </w:r>
      <w:r>
        <w:rPr>
          <w:sz w:val="32"/>
          <w:szCs w:val="32"/>
        </w:rPr>
        <w:t>平均离职率分别为29.79%、 22.35%，显著高于前程无忧人力资源调研中心《离职与调薪报告》一线城市</w:t>
      </w:r>
      <w:r>
        <w:rPr>
          <w:rFonts w:hint="eastAsia"/>
          <w:sz w:val="32"/>
          <w:szCs w:val="32"/>
        </w:rPr>
        <w:t>2014-2020年（未含2018年）</w:t>
      </w:r>
      <w:r>
        <w:rPr>
          <w:rStyle w:val="12"/>
          <w:rFonts w:hint="eastAsia"/>
          <w:sz w:val="32"/>
          <w:szCs w:val="32"/>
        </w:rPr>
        <w:footnoteReference w:id="3"/>
      </w:r>
      <w:r>
        <w:rPr>
          <w:sz w:val="32"/>
          <w:szCs w:val="32"/>
        </w:rPr>
        <w:t>的</w:t>
      </w:r>
      <w:r>
        <w:rPr>
          <w:rFonts w:hint="eastAsia"/>
          <w:sz w:val="32"/>
          <w:szCs w:val="32"/>
        </w:rPr>
        <w:t>平均</w:t>
      </w:r>
      <w:r>
        <w:rPr>
          <w:sz w:val="32"/>
          <w:szCs w:val="32"/>
        </w:rPr>
        <w:t>离职率</w:t>
      </w:r>
      <w:r>
        <w:rPr>
          <w:rFonts w:hint="eastAsia"/>
          <w:sz w:val="32"/>
          <w:szCs w:val="32"/>
        </w:rPr>
        <w:t>19.65%</w:t>
      </w:r>
      <w:r>
        <w:rPr>
          <w:rStyle w:val="12"/>
          <w:rFonts w:hint="eastAsia"/>
          <w:sz w:val="32"/>
          <w:szCs w:val="32"/>
        </w:rPr>
        <w:footnoteReference w:id="4"/>
      </w:r>
      <w:bookmarkStart w:id="223" w:name="_Toc5492"/>
      <w:bookmarkStart w:id="224" w:name="_Toc89703546"/>
      <w:bookmarkStart w:id="225" w:name="_Toc89775695"/>
      <w:bookmarkStart w:id="226" w:name="_Toc12533"/>
      <w:bookmarkStart w:id="227" w:name="_Toc89764144"/>
      <w:bookmarkStart w:id="228" w:name="_Toc11919"/>
      <w:bookmarkStart w:id="229" w:name="_Toc16268"/>
      <w:r>
        <w:rPr>
          <w:rFonts w:hint="eastAsia"/>
          <w:sz w:val="32"/>
          <w:szCs w:val="32"/>
          <w:lang w:eastAsia="zh-CN"/>
        </w:rPr>
        <w:t>。</w:t>
      </w:r>
    </w:p>
    <w:p>
      <w:pPr>
        <w:pStyle w:val="15"/>
        <w:keepNext w:val="0"/>
        <w:keepLines w:val="0"/>
        <w:spacing w:after="0"/>
        <w:jc w:val="left"/>
        <w:rPr>
          <w:rFonts w:ascii="Times New Roman" w:cs="Times New Roman"/>
          <w:bCs w:val="0"/>
        </w:rPr>
      </w:pPr>
      <w:r>
        <w:rPr>
          <w:rFonts w:hint="eastAsia" w:ascii="Times New Roman" w:cs="Times New Roman"/>
          <w:bCs w:val="0"/>
        </w:rPr>
        <w:t>3</w:t>
      </w:r>
      <w:r>
        <w:rPr>
          <w:rFonts w:ascii="Times New Roman" w:cs="Times New Roman"/>
          <w:bCs w:val="0"/>
        </w:rPr>
        <w:t>.补贴政策对住房困难群体的保障力度不足，保障对象结构有待优化</w:t>
      </w:r>
      <w:bookmarkEnd w:id="223"/>
      <w:bookmarkEnd w:id="224"/>
      <w:bookmarkEnd w:id="225"/>
      <w:bookmarkEnd w:id="226"/>
      <w:bookmarkEnd w:id="227"/>
      <w:bookmarkEnd w:id="228"/>
      <w:bookmarkEnd w:id="229"/>
    </w:p>
    <w:p>
      <w:pPr>
        <w:spacing w:line="560" w:lineRule="exact"/>
        <w:ind w:firstLine="640" w:firstLineChars="200"/>
        <w:rPr>
          <w:sz w:val="32"/>
          <w:szCs w:val="32"/>
          <w:highlight w:val="yellow"/>
          <w:lang w:bidi="ar"/>
        </w:rPr>
      </w:pPr>
      <w:r>
        <w:rPr>
          <w:sz w:val="32"/>
          <w:szCs w:val="32"/>
          <w:lang w:bidi="ar"/>
        </w:rPr>
        <w:t>当前，重点企业人才租房货币补贴由重点企业按照区住建局确定的人才标准，统筹分配人才名额并代发至人才个人。评价小组基于前述获取的2016-2019年连续4年获得租房货币补贴的38家重点企业的基础数据，分析了获得补贴对象的人群结构（详见</w:t>
      </w:r>
      <w:r>
        <w:rPr>
          <w:rFonts w:hint="eastAsia"/>
          <w:sz w:val="32"/>
          <w:szCs w:val="32"/>
          <w:lang w:bidi="ar"/>
        </w:rPr>
        <w:t>表</w:t>
      </w:r>
      <w:r>
        <w:rPr>
          <w:sz w:val="32"/>
          <w:szCs w:val="32"/>
          <w:lang w:bidi="ar"/>
        </w:rPr>
        <w:t>4-</w:t>
      </w:r>
      <w:r>
        <w:rPr>
          <w:rFonts w:hint="eastAsia"/>
          <w:sz w:val="32"/>
          <w:szCs w:val="32"/>
          <w:lang w:bidi="ar"/>
        </w:rPr>
        <w:t>8</w:t>
      </w:r>
      <w:r>
        <w:rPr>
          <w:sz w:val="32"/>
          <w:szCs w:val="32"/>
          <w:lang w:bidi="ar"/>
        </w:rPr>
        <w:t>）。统计分析发现，2016-2019年获得补贴的人才中，年龄在25岁以下（以本科毕业年龄22岁，毕业三年计算）的人才占比仅有17.33%、16.67%、6.46%、9.9%</w:t>
      </w:r>
      <w:r>
        <w:rPr>
          <w:rFonts w:hint="eastAsia"/>
          <w:sz w:val="32"/>
          <w:szCs w:val="32"/>
          <w:lang w:bidi="ar"/>
        </w:rPr>
        <w:t>；</w:t>
      </w:r>
      <w:r>
        <w:rPr>
          <w:sz w:val="32"/>
          <w:szCs w:val="32"/>
          <w:lang w:bidi="ar"/>
        </w:rPr>
        <w:t>32岁以上（本科毕业10年以上）的人才占比达到28.61%、22.17%、33.97%、31.62%</w:t>
      </w:r>
      <w:r>
        <w:rPr>
          <w:rFonts w:hint="eastAsia"/>
          <w:sz w:val="32"/>
          <w:szCs w:val="32"/>
          <w:lang w:bidi="ar"/>
        </w:rPr>
        <w:t>。根据美国经济学家贝克尔在著作《人力资本》中提出的年龄-收入曲线，</w:t>
      </w:r>
      <w:r>
        <w:rPr>
          <w:sz w:val="32"/>
          <w:szCs w:val="32"/>
          <w:lang w:bidi="ar"/>
        </w:rPr>
        <w:t>当其他因素相同时，一个人的收入或所得因年龄的增加而增加，因教育程度的提高而提高</w:t>
      </w:r>
      <w:r>
        <w:rPr>
          <w:rFonts w:hint="eastAsia"/>
          <w:sz w:val="32"/>
          <w:szCs w:val="32"/>
          <w:lang w:bidi="ar"/>
        </w:rPr>
        <w:t>。</w:t>
      </w:r>
    </w:p>
    <w:p>
      <w:pPr>
        <w:pStyle w:val="15"/>
        <w:keepNext w:val="0"/>
        <w:keepLines w:val="0"/>
        <w:spacing w:after="0"/>
        <w:jc w:val="left"/>
        <w:rPr>
          <w:rFonts w:ascii="Times New Roman" w:cs="Times New Roman"/>
          <w:bCs w:val="0"/>
        </w:rPr>
      </w:pPr>
      <w:bookmarkStart w:id="230" w:name="_Toc22338"/>
      <w:bookmarkStart w:id="231" w:name="_Toc3902"/>
      <w:bookmarkStart w:id="232" w:name="_Toc89703547"/>
      <w:bookmarkStart w:id="233" w:name="_Toc89775696"/>
      <w:bookmarkStart w:id="234" w:name="_Toc89764145"/>
      <w:bookmarkStart w:id="235" w:name="_Toc17598"/>
      <w:bookmarkStart w:id="236" w:name="_Toc25932"/>
      <w:r>
        <w:rPr>
          <w:rFonts w:hint="eastAsia" w:ascii="Times New Roman" w:cs="Times New Roman"/>
          <w:bCs w:val="0"/>
        </w:rPr>
        <w:t>4</w:t>
      </w:r>
      <w:r>
        <w:rPr>
          <w:rFonts w:ascii="Times New Roman" w:cs="Times New Roman"/>
          <w:bCs w:val="0"/>
        </w:rPr>
        <w:t>.补贴政策定位不够清晰，针对特定人群的补贴政策变相成为企业内部的奖励政策</w:t>
      </w:r>
      <w:bookmarkEnd w:id="230"/>
      <w:bookmarkEnd w:id="231"/>
      <w:bookmarkEnd w:id="232"/>
      <w:bookmarkEnd w:id="233"/>
      <w:bookmarkEnd w:id="234"/>
      <w:bookmarkEnd w:id="235"/>
      <w:bookmarkEnd w:id="236"/>
    </w:p>
    <w:p>
      <w:pPr>
        <w:widowControl/>
        <w:spacing w:line="560" w:lineRule="exact"/>
        <w:ind w:firstLine="640" w:firstLineChars="200"/>
        <w:rPr>
          <w:sz w:val="32"/>
          <w:szCs w:val="32"/>
        </w:rPr>
      </w:pPr>
      <w:r>
        <w:rPr>
          <w:sz w:val="32"/>
          <w:szCs w:val="32"/>
        </w:rPr>
        <w:t>根据《若干措施》的相关规定，自2016年起，龙华区针对重点企业开展人才租房货币补贴工作，旨在弥补保障性住房配租不足，通过货币补贴方式缓解重点企业人才住房困难，以吸引人才、保障人才、留住人才。实际工作中，区住建局先根据区内企业上年度的产值、税收、营收等确定纳入重点企业范围（纳税100强、工业100强、服务业100强、外贸100强、总部100强等）的企业名单，再根据入围企业申报的人才规模等确定配额，按照不高于配额的标准向通过审核认定的重点企业拨付补贴资金，并由重点企业按照</w:t>
      </w:r>
      <w:r>
        <w:rPr>
          <w:rFonts w:hint="eastAsia"/>
          <w:sz w:val="32"/>
          <w:szCs w:val="32"/>
        </w:rPr>
        <w:t>《工作方案》</w:t>
      </w:r>
      <w:r>
        <w:rPr>
          <w:sz w:val="32"/>
          <w:szCs w:val="32"/>
        </w:rPr>
        <w:t>确定的人才标准，进行二次分配，统筹分配人才名额并代发至人才个人。上述操作中，以上年度企业产值、税收、营收等，分领域分行业认定重点企业再确定配额，属于产业类政策的一般做法，容易让重点企业将补贴资金认定为政府给予其的一笔奖励金；同时，政策又要求重点企业按照既定标准确定补贴人才清单并向人才发放租房货币补贴，重点企业本应无差别对待所有符合条件的人员，但往往因符合条件的人员众多，补贴资金相对难以合理分配，导致重点企业选择性确定补贴人员清单，甚至将补贴资金作为给予企业符合条件人员的奖励，造成公平性问题。本次评价过程中，确有发现企业将租房货币补贴作为年终奖金的一部分发放给表现优异的符合条件的人员，以2018-2019年富士康集团补贴资金发放为例。</w:t>
      </w:r>
    </w:p>
    <w:p>
      <w:pPr>
        <w:pStyle w:val="15"/>
        <w:keepNext w:val="0"/>
        <w:keepLines w:val="0"/>
        <w:spacing w:after="0"/>
        <w:jc w:val="left"/>
        <w:rPr>
          <w:rFonts w:ascii="Times New Roman" w:cs="Times New Roman"/>
          <w:bCs w:val="0"/>
        </w:rPr>
      </w:pPr>
      <w:bookmarkStart w:id="237" w:name="_Toc89703548"/>
      <w:bookmarkStart w:id="238" w:name="_Toc89775697"/>
      <w:bookmarkStart w:id="239" w:name="_Toc30123"/>
      <w:bookmarkStart w:id="240" w:name="_Toc28498"/>
      <w:bookmarkStart w:id="241" w:name="_Toc13607"/>
      <w:bookmarkStart w:id="242" w:name="_Toc89764146"/>
      <w:bookmarkStart w:id="243" w:name="_Toc1117"/>
      <w:r>
        <w:rPr>
          <w:rFonts w:hint="eastAsia" w:ascii="Times New Roman" w:cs="Times New Roman"/>
          <w:bCs w:val="0"/>
        </w:rPr>
        <w:t>5</w:t>
      </w:r>
      <w:r>
        <w:rPr>
          <w:rFonts w:ascii="Times New Roman" w:cs="Times New Roman"/>
          <w:bCs w:val="0"/>
        </w:rPr>
        <w:t>.符合补贴条件人才群体持续增加，长期财力难以为继</w:t>
      </w:r>
      <w:bookmarkEnd w:id="237"/>
      <w:bookmarkEnd w:id="238"/>
      <w:bookmarkEnd w:id="239"/>
      <w:bookmarkEnd w:id="240"/>
      <w:bookmarkEnd w:id="241"/>
      <w:bookmarkEnd w:id="242"/>
      <w:bookmarkEnd w:id="243"/>
    </w:p>
    <w:p>
      <w:pPr>
        <w:pStyle w:val="9"/>
        <w:widowControl/>
        <w:shd w:val="clear" w:color="auto" w:fill="FFFFFF"/>
        <w:spacing w:beforeAutospacing="0" w:afterAutospacing="0" w:line="560" w:lineRule="exact"/>
        <w:ind w:firstLine="640" w:firstLineChars="200"/>
        <w:jc w:val="both"/>
        <w:rPr>
          <w:rFonts w:hint="eastAsia" w:eastAsia="仿宋_GB2312"/>
          <w:bCs/>
          <w:kern w:val="2"/>
          <w:sz w:val="32"/>
          <w:szCs w:val="32"/>
          <w:lang w:eastAsia="zh-CN"/>
        </w:rPr>
      </w:pPr>
      <w:r>
        <w:rPr>
          <w:sz w:val="32"/>
          <w:szCs w:val="32"/>
        </w:rPr>
        <w:t>根据从区住建局申报系统中导出的各年度获得补贴的重点企业基本情况的数据统计，2016-2020年</w:t>
      </w:r>
      <w:r>
        <w:rPr>
          <w:rFonts w:hint="eastAsia"/>
          <w:sz w:val="32"/>
          <w:szCs w:val="32"/>
        </w:rPr>
        <w:t>龙华区</w:t>
      </w:r>
      <w:r>
        <w:rPr>
          <w:sz w:val="32"/>
          <w:szCs w:val="32"/>
        </w:rPr>
        <w:t>重点企业单位员工总数每年为31.11万、30.60万、37.51万、37.44万、38.22万，其中符合补贴发放条件的人才规模(指具有大学本科及以上学历、或中级及以上职称、或取得职业技能资格等同等条件的人才）每年为8.37万、7.41万、10.17万、9.88万、9.80万，2016-2019年每年实际受资助的人才数量为4277人、5895人、7558人、7143人，占人才规模比例分别为5.11%、7.95%、7.43%、7.23%。人</w:t>
      </w:r>
      <w:r>
        <w:rPr>
          <w:bCs/>
          <w:kern w:val="2"/>
          <w:sz w:val="32"/>
          <w:szCs w:val="32"/>
        </w:rPr>
        <w:t>才规模基数较大，但实际受资助人才相对较少。同时，考虑到2016-2020年供给给重点企业的保障性住房套数为5953套（占2016-2020年全区保障性住房供应量的50%）</w:t>
      </w:r>
      <w:r>
        <w:rPr>
          <w:rStyle w:val="12"/>
          <w:bCs/>
          <w:kern w:val="2"/>
          <w:sz w:val="32"/>
          <w:szCs w:val="32"/>
        </w:rPr>
        <w:footnoteReference w:id="5"/>
      </w:r>
      <w:r>
        <w:rPr>
          <w:bCs/>
          <w:kern w:val="2"/>
          <w:sz w:val="32"/>
          <w:szCs w:val="32"/>
        </w:rPr>
        <w:t>，且保障性住房并非全部用于保障重点企业人才（只要求申请人与重点企业签订的合同在有效期内，申请人、共同申请人在本市未享受过住房补贴政策和拥有任何形式的自有住房）</w:t>
      </w:r>
      <w:r>
        <w:rPr>
          <w:rFonts w:hint="eastAsia"/>
          <w:bCs/>
          <w:kern w:val="2"/>
          <w:sz w:val="32"/>
          <w:szCs w:val="32"/>
          <w:lang w:eastAsia="zh-CN"/>
        </w:rPr>
        <w:t>。</w:t>
      </w:r>
    </w:p>
    <w:p>
      <w:pPr>
        <w:pStyle w:val="9"/>
        <w:widowControl/>
        <w:shd w:val="clear" w:color="auto" w:fill="FFFFFF"/>
        <w:spacing w:beforeAutospacing="0" w:afterAutospacing="0" w:line="240" w:lineRule="auto"/>
        <w:ind w:firstLine="0" w:firstLineChars="0"/>
        <w:jc w:val="both"/>
        <w:rPr>
          <w:bCs/>
          <w:kern w:val="2"/>
          <w:sz w:val="32"/>
          <w:szCs w:val="32"/>
        </w:rPr>
      </w:pPr>
      <w:r>
        <w:drawing>
          <wp:anchor distT="0" distB="0" distL="114300" distR="114300" simplePos="0" relativeHeight="251659264" behindDoc="0" locked="0" layoutInCell="1" allowOverlap="1">
            <wp:simplePos x="0" y="0"/>
            <wp:positionH relativeFrom="page">
              <wp:posOffset>1009015</wp:posOffset>
            </wp:positionH>
            <wp:positionV relativeFrom="paragraph">
              <wp:posOffset>22860</wp:posOffset>
            </wp:positionV>
            <wp:extent cx="5640705" cy="2778760"/>
            <wp:effectExtent l="4445" t="4445" r="12700" b="17145"/>
            <wp:wrapNone/>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pPr>
        <w:pStyle w:val="9"/>
        <w:widowControl/>
        <w:shd w:val="clear" w:color="auto" w:fill="FFFFFF"/>
        <w:spacing w:beforeAutospacing="0" w:afterAutospacing="0" w:line="240" w:lineRule="auto"/>
        <w:ind w:firstLine="0" w:firstLineChars="0"/>
        <w:jc w:val="both"/>
        <w:rPr>
          <w:bCs/>
          <w:kern w:val="2"/>
          <w:sz w:val="32"/>
          <w:szCs w:val="32"/>
        </w:rPr>
      </w:pPr>
    </w:p>
    <w:p>
      <w:pPr>
        <w:widowControl/>
        <w:spacing w:line="560" w:lineRule="exact"/>
      </w:pPr>
    </w:p>
    <w:p>
      <w:pPr>
        <w:widowControl/>
        <w:spacing w:line="560" w:lineRule="exact"/>
        <w:jc w:val="center"/>
        <w:rPr>
          <w:b/>
          <w:bCs/>
          <w:sz w:val="28"/>
          <w:szCs w:val="28"/>
        </w:rPr>
      </w:pPr>
    </w:p>
    <w:p>
      <w:pPr>
        <w:widowControl/>
        <w:spacing w:line="560" w:lineRule="exact"/>
        <w:jc w:val="center"/>
        <w:rPr>
          <w:b/>
          <w:bCs/>
          <w:sz w:val="28"/>
          <w:szCs w:val="28"/>
        </w:rPr>
      </w:pPr>
    </w:p>
    <w:p>
      <w:pPr>
        <w:widowControl/>
        <w:spacing w:line="560" w:lineRule="exact"/>
        <w:jc w:val="center"/>
        <w:rPr>
          <w:rFonts w:hint="eastAsia" w:eastAsia="黑体"/>
          <w:kern w:val="44"/>
          <w:sz w:val="32"/>
          <w:szCs w:val="32"/>
        </w:rPr>
      </w:pPr>
      <w:r>
        <w:rPr>
          <w:b/>
          <w:bCs/>
          <w:sz w:val="28"/>
          <w:szCs w:val="28"/>
        </w:rPr>
        <w:t>图4-3  2016-2020年重点企业单位员工总数和人才规模情况</w:t>
      </w:r>
      <w:bookmarkStart w:id="244" w:name="_Toc4285"/>
      <w:bookmarkStart w:id="245" w:name="_Toc89775698"/>
      <w:bookmarkStart w:id="246" w:name="_Toc30686"/>
      <w:bookmarkStart w:id="247" w:name="_Toc7209"/>
      <w:bookmarkStart w:id="272" w:name="_GoBack"/>
      <w:bookmarkEnd w:id="272"/>
    </w:p>
    <w:p>
      <w:pPr>
        <w:keepNext/>
        <w:keepLines/>
        <w:widowControl/>
        <w:spacing w:line="560" w:lineRule="exact"/>
        <w:jc w:val="left"/>
        <w:outlineLvl w:val="0"/>
        <w:rPr>
          <w:rFonts w:eastAsia="黑体"/>
          <w:kern w:val="44"/>
          <w:sz w:val="32"/>
          <w:szCs w:val="32"/>
        </w:rPr>
      </w:pPr>
      <w:r>
        <w:rPr>
          <w:rFonts w:hint="eastAsia" w:eastAsia="黑体"/>
          <w:kern w:val="44"/>
          <w:sz w:val="32"/>
          <w:szCs w:val="32"/>
        </w:rPr>
        <w:t>五、</w:t>
      </w:r>
      <w:r>
        <w:rPr>
          <w:rFonts w:eastAsia="黑体"/>
          <w:kern w:val="44"/>
          <w:sz w:val="32"/>
          <w:szCs w:val="32"/>
        </w:rPr>
        <w:t>相关建议</w:t>
      </w:r>
      <w:bookmarkEnd w:id="210"/>
      <w:bookmarkEnd w:id="211"/>
      <w:bookmarkEnd w:id="212"/>
      <w:bookmarkEnd w:id="244"/>
      <w:bookmarkEnd w:id="245"/>
      <w:bookmarkEnd w:id="246"/>
      <w:bookmarkEnd w:id="247"/>
    </w:p>
    <w:p>
      <w:pPr>
        <w:keepNext/>
        <w:keepLines/>
        <w:widowControl/>
        <w:spacing w:line="560" w:lineRule="exact"/>
        <w:ind w:firstLine="643" w:firstLineChars="200"/>
        <w:jc w:val="left"/>
        <w:outlineLvl w:val="1"/>
        <w:rPr>
          <w:rFonts w:eastAsia="楷体_GB2312"/>
          <w:b/>
          <w:bCs/>
          <w:kern w:val="0"/>
          <w:sz w:val="32"/>
          <w:szCs w:val="32"/>
        </w:rPr>
      </w:pPr>
      <w:bookmarkStart w:id="248" w:name="_Toc87369840"/>
      <w:bookmarkStart w:id="249" w:name="_Toc18444"/>
      <w:bookmarkStart w:id="250" w:name="_Toc5708"/>
      <w:bookmarkStart w:id="251" w:name="_Toc6522"/>
      <w:bookmarkStart w:id="252" w:name="_Toc17404"/>
      <w:bookmarkStart w:id="253" w:name="_Toc16539"/>
      <w:bookmarkStart w:id="254" w:name="_Toc89775699"/>
      <w:bookmarkStart w:id="255" w:name="_Toc88656190"/>
      <w:r>
        <w:rPr>
          <w:rFonts w:eastAsia="楷体_GB2312"/>
          <w:b/>
          <w:bCs/>
          <w:kern w:val="0"/>
          <w:sz w:val="32"/>
          <w:szCs w:val="32"/>
        </w:rPr>
        <w:t>（一）修订政策内容，完善补贴机制</w:t>
      </w:r>
      <w:bookmarkEnd w:id="248"/>
      <w:bookmarkEnd w:id="249"/>
      <w:bookmarkEnd w:id="250"/>
      <w:bookmarkEnd w:id="251"/>
      <w:bookmarkEnd w:id="252"/>
      <w:bookmarkEnd w:id="253"/>
      <w:bookmarkEnd w:id="254"/>
      <w:bookmarkEnd w:id="255"/>
    </w:p>
    <w:p>
      <w:pPr>
        <w:widowControl/>
        <w:snapToGrid w:val="0"/>
        <w:spacing w:line="560" w:lineRule="exact"/>
        <w:ind w:firstLine="640" w:firstLineChars="200"/>
        <w:rPr>
          <w:sz w:val="32"/>
          <w:szCs w:val="32"/>
        </w:rPr>
      </w:pPr>
      <w:r>
        <w:rPr>
          <w:sz w:val="32"/>
          <w:szCs w:val="32"/>
        </w:rPr>
        <w:t>建议借鉴其他兄弟区的工作经验，结合当前龙华区现有模式的不足，将租房货币补贴直接发给个人。2021年，南山区和福田区均由个人直接在区住建局相关申报系统提交申请；罗湖区则由企业代个人申报，但资金发放均由区住建局统一发放至符合条件的人才的银行账户，避免企业二次分配资金。上述做法，</w:t>
      </w:r>
      <w:r>
        <w:rPr>
          <w:b/>
          <w:bCs/>
          <w:sz w:val="32"/>
          <w:szCs w:val="32"/>
        </w:rPr>
        <w:t>一是</w:t>
      </w:r>
      <w:r>
        <w:rPr>
          <w:sz w:val="32"/>
          <w:szCs w:val="32"/>
        </w:rPr>
        <w:t>公平性更好，避免企业将补贴拆分给多人或优先、多发放补贴给部分员工，造成保障力度不足和公平性的问题。</w:t>
      </w:r>
      <w:r>
        <w:rPr>
          <w:b/>
          <w:bCs/>
          <w:sz w:val="32"/>
          <w:szCs w:val="32"/>
        </w:rPr>
        <w:t>二是</w:t>
      </w:r>
      <w:r>
        <w:rPr>
          <w:sz w:val="32"/>
          <w:szCs w:val="32"/>
        </w:rPr>
        <w:t>获得感更强，提高重点企业人才的满足感和留区意愿。</w:t>
      </w:r>
      <w:r>
        <w:rPr>
          <w:b/>
          <w:bCs/>
          <w:sz w:val="32"/>
          <w:szCs w:val="32"/>
        </w:rPr>
        <w:t>三是</w:t>
      </w:r>
      <w:r>
        <w:rPr>
          <w:sz w:val="32"/>
          <w:szCs w:val="32"/>
        </w:rPr>
        <w:t>避免了事后审计并安排退回事宜，增加行政管理成本和造成资金沉淀。</w:t>
      </w:r>
    </w:p>
    <w:p>
      <w:pPr>
        <w:keepNext/>
        <w:keepLines/>
        <w:widowControl/>
        <w:spacing w:line="560" w:lineRule="exact"/>
        <w:ind w:firstLine="643" w:firstLineChars="200"/>
        <w:jc w:val="left"/>
        <w:outlineLvl w:val="1"/>
        <w:rPr>
          <w:rFonts w:eastAsia="楷体_GB2312"/>
          <w:b/>
          <w:bCs/>
          <w:kern w:val="0"/>
          <w:sz w:val="32"/>
          <w:szCs w:val="32"/>
        </w:rPr>
      </w:pPr>
      <w:bookmarkStart w:id="256" w:name="_Toc15227"/>
      <w:bookmarkStart w:id="257" w:name="_Toc21582"/>
      <w:bookmarkStart w:id="258" w:name="_Toc89775700"/>
      <w:bookmarkStart w:id="259" w:name="_Toc22518"/>
      <w:bookmarkStart w:id="260" w:name="_Toc88656191"/>
      <w:bookmarkStart w:id="261" w:name="_Toc87369841"/>
      <w:bookmarkStart w:id="262" w:name="_Toc24448"/>
      <w:bookmarkStart w:id="263" w:name="_Toc16853"/>
      <w:r>
        <w:rPr>
          <w:rFonts w:eastAsia="楷体_GB2312"/>
          <w:b/>
          <w:bCs/>
          <w:kern w:val="0"/>
          <w:sz w:val="32"/>
          <w:szCs w:val="32"/>
        </w:rPr>
        <w:t>（二）清理沉淀资金，合理安排年度预算</w:t>
      </w:r>
      <w:bookmarkEnd w:id="256"/>
      <w:bookmarkEnd w:id="257"/>
      <w:bookmarkEnd w:id="258"/>
      <w:bookmarkEnd w:id="259"/>
      <w:bookmarkEnd w:id="260"/>
      <w:bookmarkEnd w:id="261"/>
      <w:bookmarkEnd w:id="262"/>
      <w:bookmarkEnd w:id="263"/>
    </w:p>
    <w:p>
      <w:pPr>
        <w:widowControl/>
        <w:snapToGrid w:val="0"/>
        <w:spacing w:line="560" w:lineRule="exact"/>
        <w:ind w:firstLine="643" w:firstLineChars="200"/>
        <w:rPr>
          <w:sz w:val="32"/>
          <w:szCs w:val="32"/>
        </w:rPr>
      </w:pPr>
      <w:r>
        <w:rPr>
          <w:b/>
          <w:bCs/>
          <w:sz w:val="32"/>
          <w:szCs w:val="32"/>
        </w:rPr>
        <w:t>一是</w:t>
      </w:r>
      <w:r>
        <w:rPr>
          <w:sz w:val="32"/>
          <w:szCs w:val="32"/>
        </w:rPr>
        <w:t>全面系统梳理并清理沉淀资金。建议聘请专业的第三方机构，对发放给企业的资金进行全面审计，确保应退尽退。</w:t>
      </w:r>
      <w:r>
        <w:rPr>
          <w:b/>
          <w:bCs/>
          <w:sz w:val="32"/>
          <w:szCs w:val="32"/>
        </w:rPr>
        <w:t>二是</w:t>
      </w:r>
      <w:r>
        <w:rPr>
          <w:sz w:val="32"/>
          <w:szCs w:val="32"/>
        </w:rPr>
        <w:t>合理安排年度预算。根据往年实际投入资金规模对年度预算和资助计划、绩效目标进行审议，统筹做好政府财力安排，坚持</w:t>
      </w:r>
      <w:r>
        <w:rPr>
          <w:b/>
          <w:bCs/>
          <w:sz w:val="32"/>
          <w:szCs w:val="32"/>
        </w:rPr>
        <w:t>“量力而行，尽力而为”</w:t>
      </w:r>
      <w:r>
        <w:rPr>
          <w:sz w:val="32"/>
          <w:szCs w:val="32"/>
        </w:rPr>
        <w:t>，适度控制资金规模。</w:t>
      </w:r>
    </w:p>
    <w:p>
      <w:pPr>
        <w:keepNext/>
        <w:keepLines/>
        <w:widowControl/>
        <w:spacing w:line="560" w:lineRule="exact"/>
        <w:ind w:firstLine="643" w:firstLineChars="200"/>
        <w:jc w:val="left"/>
        <w:outlineLvl w:val="1"/>
        <w:rPr>
          <w:rFonts w:eastAsia="楷体_GB2312"/>
          <w:b/>
          <w:bCs/>
          <w:kern w:val="0"/>
          <w:sz w:val="32"/>
          <w:szCs w:val="32"/>
        </w:rPr>
      </w:pPr>
      <w:bookmarkStart w:id="264" w:name="_Toc89775701"/>
      <w:bookmarkStart w:id="265" w:name="_Toc19363"/>
      <w:bookmarkStart w:id="266" w:name="_Toc87369842"/>
      <w:bookmarkStart w:id="267" w:name="_Toc88656192"/>
      <w:bookmarkStart w:id="268" w:name="_Toc25611"/>
      <w:bookmarkStart w:id="269" w:name="_Toc4212"/>
      <w:bookmarkStart w:id="270" w:name="_Toc16793"/>
      <w:bookmarkStart w:id="271" w:name="_Toc30136"/>
      <w:r>
        <w:rPr>
          <w:rFonts w:eastAsia="楷体_GB2312"/>
          <w:b/>
          <w:bCs/>
          <w:kern w:val="0"/>
          <w:sz w:val="32"/>
          <w:szCs w:val="32"/>
        </w:rPr>
        <w:t>（三）加强申请审核，确保公平公正</w:t>
      </w:r>
      <w:bookmarkEnd w:id="264"/>
      <w:bookmarkEnd w:id="265"/>
      <w:bookmarkEnd w:id="266"/>
      <w:bookmarkEnd w:id="267"/>
      <w:bookmarkEnd w:id="268"/>
      <w:bookmarkEnd w:id="269"/>
      <w:bookmarkEnd w:id="270"/>
      <w:bookmarkEnd w:id="271"/>
      <w:r>
        <w:rPr>
          <w:rFonts w:eastAsia="楷体_GB2312"/>
          <w:b/>
          <w:bCs/>
          <w:kern w:val="0"/>
          <w:sz w:val="32"/>
          <w:szCs w:val="32"/>
        </w:rPr>
        <w:t xml:space="preserve"> </w:t>
      </w:r>
    </w:p>
    <w:p>
      <w:pPr>
        <w:widowControl/>
        <w:snapToGrid w:val="0"/>
        <w:spacing w:line="560" w:lineRule="exact"/>
        <w:ind w:firstLine="643" w:firstLineChars="200"/>
        <w:rPr>
          <w:sz w:val="32"/>
          <w:szCs w:val="32"/>
        </w:rPr>
      </w:pPr>
      <w:r>
        <w:rPr>
          <w:b/>
          <w:sz w:val="32"/>
          <w:szCs w:val="32"/>
        </w:rPr>
        <w:t>一是</w:t>
      </w:r>
      <w:r>
        <w:rPr>
          <w:sz w:val="32"/>
          <w:szCs w:val="32"/>
        </w:rPr>
        <w:t>加强对劳动合同签订主体和社保代扣代缴主体一致性的审核，避免在非本公司缴纳社保甚至异地缴纳社保的情况。</w:t>
      </w:r>
      <w:r>
        <w:rPr>
          <w:b/>
          <w:sz w:val="32"/>
          <w:szCs w:val="32"/>
        </w:rPr>
        <w:t>二是</w:t>
      </w:r>
      <w:r>
        <w:rPr>
          <w:sz w:val="32"/>
          <w:szCs w:val="32"/>
        </w:rPr>
        <w:t>加强对职业技能资格的认定审核，提高获得补贴的认定标准</w:t>
      </w:r>
      <w:r>
        <w:rPr>
          <w:rFonts w:hint="eastAsia"/>
          <w:sz w:val="32"/>
          <w:szCs w:val="32"/>
        </w:rPr>
        <w:t>。如根据</w:t>
      </w:r>
      <w:r>
        <w:rPr>
          <w:sz w:val="32"/>
          <w:szCs w:val="32"/>
        </w:rPr>
        <w:t>《深圳市龙华区技能人才引进紧缺职业目录》审核职业资格证书工种，补贴龙华区紧缺的技能型人才，借鉴其他区提高补贴人员的职业资格等级标准，鼓励人才提升技能，助推龙华区从制造大区向制造强区转变，适应产业转型升级和新一轮发展竞争要求。</w:t>
      </w:r>
      <w:r>
        <w:rPr>
          <w:b/>
          <w:sz w:val="32"/>
          <w:szCs w:val="32"/>
        </w:rPr>
        <w:t>三是</w:t>
      </w:r>
      <w:r>
        <w:rPr>
          <w:sz w:val="32"/>
          <w:szCs w:val="32"/>
        </w:rPr>
        <w:t>若实际申请人员的资金规模超过年度预算，可借鉴福田区的做法，将申报人员统一编号并进行摇号，摇号过程和结果由公证机构进行公证，最终补贴名单由区住建局在官网公示，确保公平公正。</w:t>
      </w:r>
    </w:p>
    <w:p/>
    <w:sectPr>
      <w:pgSz w:w="11906" w:h="16838"/>
      <w:pgMar w:top="2098" w:right="1474" w:bottom="1985" w:left="1588" w:header="737" w:footer="851" w:gutter="0"/>
      <w:pgNumType w:fmt="numberInDash"/>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光小标宋_CNKI">
    <w:altName w:val="宋体"/>
    <w:panose1 w:val="00000000000000000000"/>
    <w:charset w:val="86"/>
    <w:family w:val="auto"/>
    <w:pitch w:val="default"/>
    <w:sig w:usb0="00000000" w:usb1="00000000" w:usb2="00000016" w:usb3="00000000" w:csb0="0004000F" w:csb1="00000000"/>
  </w:font>
  <w:font w:name="等线">
    <w:altName w:val="Arial Unicode MS"/>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Segoe UI Symbol">
    <w:panose1 w:val="020B0502040204020203"/>
    <w:charset w:val="00"/>
    <w:family w:val="swiss"/>
    <w:pitch w:val="default"/>
    <w:sig w:usb0="8000006F" w:usb1="1200FBEF" w:usb2="0064C000" w:usb3="00000002" w:csb0="00000001" w:csb1="4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1080" w:right="180"/>
      <w:jc w:val="right"/>
      <w:rPr>
        <w:rFonts w:ascii="仿宋_GB2312"/>
        <w:sz w:val="28"/>
        <w:szCs w:val="28"/>
      </w:rPr>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宋体" w:hAnsi="宋体" w:eastAsia="宋体"/>
        <w:sz w:val="28"/>
        <w:szCs w:val="28"/>
      </w:rPr>
    </w:pP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5757217"/>
    </w:sdtPr>
    <w:sdtEndPr>
      <w:rPr>
        <w:rFonts w:hint="eastAsia" w:ascii="仿宋_GB2312"/>
        <w:sz w:val="28"/>
        <w:szCs w:val="28"/>
      </w:rPr>
    </w:sdtEndPr>
    <w:sdtContent>
      <w:p>
        <w:pPr>
          <w:pStyle w:val="5"/>
          <w:ind w:left="1080" w:right="180"/>
          <w:jc w:val="right"/>
          <w:rPr>
            <w:rFonts w:ascii="仿宋_GB2312"/>
            <w:sz w:val="28"/>
            <w:szCs w:val="28"/>
          </w:rPr>
        </w:pPr>
        <w:r>
          <w:rPr>
            <w:rFonts w:hint="eastAsia" w:ascii="仿宋_GB2312"/>
            <w:sz w:val="28"/>
            <w:szCs w:val="28"/>
          </w:rPr>
          <w:t xml:space="preserve"> </w:t>
        </w:r>
        <w:r>
          <w:rPr>
            <w:rFonts w:hint="eastAsia" w:ascii="宋体" w:hAnsi="宋体" w:eastAsia="宋体"/>
            <w:sz w:val="28"/>
            <w:szCs w:val="28"/>
          </w:rPr>
          <w:fldChar w:fldCharType="begin"/>
        </w:r>
        <w:r>
          <w:rPr>
            <w:rFonts w:hint="eastAsia" w:ascii="宋体" w:hAnsi="宋体" w:eastAsia="宋体"/>
            <w:sz w:val="28"/>
            <w:szCs w:val="28"/>
          </w:rPr>
          <w:instrText xml:space="preserve">PAGE   \* MERGEFORMAT</w:instrText>
        </w:r>
        <w:r>
          <w:rPr>
            <w:rFonts w:hint="eastAsia"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hint="eastAsia" w:ascii="宋体" w:hAnsi="宋体" w:eastAsia="宋体"/>
            <w:sz w:val="28"/>
            <w:szCs w:val="28"/>
          </w:rPr>
          <w:fldChar w:fldCharType="end"/>
        </w:r>
        <w:r>
          <w:rPr>
            <w:rFonts w:hint="eastAsia" w:ascii="仿宋_GB2312"/>
            <w:sz w:val="28"/>
            <w:szCs w:val="28"/>
          </w:rPr>
          <w:t xml:space="preserve"> </w:t>
        </w:r>
      </w:p>
    </w:sdtContent>
  </w:sdt>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2814662"/>
    </w:sdtPr>
    <w:sdtEndPr>
      <w:rPr>
        <w:rFonts w:ascii="宋体" w:hAnsi="宋体" w:eastAsia="宋体"/>
        <w:sz w:val="28"/>
        <w:szCs w:val="28"/>
      </w:rPr>
    </w:sdtEndPr>
    <w:sdtContent>
      <w:p>
        <w:pPr>
          <w:pStyle w:val="5"/>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2 -</w:t>
        </w:r>
        <w:r>
          <w:rPr>
            <w:rFonts w:ascii="宋体" w:hAnsi="宋体" w:eastAsia="宋体"/>
            <w:sz w:val="28"/>
            <w:szCs w:val="28"/>
          </w:rPr>
          <w:fldChar w:fldCharType="end"/>
        </w:r>
      </w:p>
    </w:sdtContent>
  </w:sdt>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7"/>
        <w:rPr>
          <w:rFonts w:ascii="宋体" w:hAnsi="宋体" w:eastAsia="宋体"/>
          <w:sz w:val="21"/>
          <w:szCs w:val="21"/>
        </w:rPr>
      </w:pPr>
    </w:p>
  </w:footnote>
  <w:footnote w:id="1">
    <w:p>
      <w:pPr>
        <w:pStyle w:val="7"/>
      </w:pPr>
      <w:r>
        <w:rPr>
          <w:rStyle w:val="12"/>
        </w:rPr>
        <w:footnoteRef/>
      </w:r>
      <w:r>
        <w:t xml:space="preserve"> </w:t>
      </w:r>
      <w:r>
        <w:rPr>
          <w:rFonts w:eastAsia="宋体"/>
          <w:sz w:val="21"/>
          <w:szCs w:val="21"/>
        </w:rPr>
        <w:t>《项目支出绩效评价管理办法》（财预〔2020〕10号）第十八条：绩效评价结果采取评分和评级相结合的方式，具体分值和等级可根据不同评价内容设定。总分一般设置为100分，等级一般划分为四档：90（含）-100分为优、80（含）-90分为良、60（含）-80分为中、60分以下为差。</w:t>
      </w:r>
    </w:p>
  </w:footnote>
  <w:footnote w:id="2">
    <w:p>
      <w:pPr>
        <w:pStyle w:val="7"/>
        <w:jc w:val="both"/>
        <w:rPr>
          <w:rFonts w:ascii="宋体" w:hAnsi="宋体" w:eastAsia="宋体"/>
          <w:sz w:val="21"/>
          <w:szCs w:val="21"/>
        </w:rPr>
      </w:pPr>
      <w:r>
        <w:rPr>
          <w:rStyle w:val="12"/>
          <w:rFonts w:ascii="宋体" w:hAnsi="宋体" w:eastAsia="宋体"/>
          <w:sz w:val="21"/>
          <w:szCs w:val="21"/>
        </w:rPr>
        <w:footnoteRef/>
      </w:r>
      <w:r>
        <w:rPr>
          <w:rFonts w:ascii="宋体" w:hAnsi="宋体" w:eastAsia="宋体"/>
          <w:sz w:val="21"/>
          <w:szCs w:val="21"/>
        </w:rPr>
        <w:t xml:space="preserve"> </w:t>
      </w:r>
      <w:r>
        <w:rPr>
          <w:rFonts w:hint="eastAsia" w:ascii="宋体" w:hAnsi="宋体" w:eastAsia="宋体"/>
          <w:sz w:val="21"/>
          <w:szCs w:val="21"/>
        </w:rPr>
        <w:t>职业资格是对从事某一职业所必备的学识、技术和能力的基本要求，反映了劳动者为适应职业劳动需要而运用特定的知识、技术和技能的能力。我国职业资格证书分为五个等级：初级（五级）、中级（四级）、高级（三级）、技师（二级）和高级技师（一级），不同等级具体的技能要求见附件</w:t>
      </w:r>
      <w:r>
        <w:rPr>
          <w:rFonts w:ascii="宋体" w:hAnsi="宋体" w:eastAsia="宋体"/>
          <w:sz w:val="21"/>
          <w:szCs w:val="21"/>
        </w:rPr>
        <w:t>7</w:t>
      </w:r>
      <w:r>
        <w:rPr>
          <w:rFonts w:hint="eastAsia" w:ascii="宋体" w:hAnsi="宋体" w:eastAsia="宋体"/>
          <w:sz w:val="21"/>
          <w:szCs w:val="21"/>
        </w:rPr>
        <w:t>。</w:t>
      </w:r>
    </w:p>
  </w:footnote>
  <w:footnote w:id="3">
    <w:p>
      <w:pPr>
        <w:pStyle w:val="7"/>
      </w:pPr>
      <w:r>
        <w:rPr>
          <w:rStyle w:val="12"/>
        </w:rPr>
        <w:footnoteRef/>
      </w:r>
      <w:r>
        <w:t xml:space="preserve"> </w:t>
      </w:r>
      <w:r>
        <w:rPr>
          <w:rFonts w:hint="eastAsia" w:ascii="宋体" w:hAnsi="宋体" w:eastAsia="宋体"/>
          <w:sz w:val="21"/>
          <w:szCs w:val="21"/>
        </w:rPr>
        <w:t>未在公开渠道找到2018年数据。</w:t>
      </w:r>
    </w:p>
  </w:footnote>
  <w:footnote w:id="4">
    <w:p>
      <w:pPr>
        <w:pStyle w:val="7"/>
        <w:rPr>
          <w:rFonts w:ascii="宋体" w:hAnsi="宋体" w:eastAsia="宋体"/>
          <w:sz w:val="21"/>
          <w:szCs w:val="21"/>
        </w:rPr>
      </w:pPr>
      <w:r>
        <w:rPr>
          <w:rStyle w:val="12"/>
        </w:rPr>
        <w:footnoteRef/>
      </w:r>
      <w:r>
        <w:t xml:space="preserve"> </w:t>
      </w:r>
      <w:r>
        <w:rPr>
          <w:rFonts w:hint="eastAsia" w:ascii="宋体" w:hAnsi="宋体" w:eastAsia="宋体"/>
          <w:sz w:val="21"/>
          <w:szCs w:val="21"/>
        </w:rPr>
        <w:t>由于前程无忧人力资源调研中心《</w:t>
      </w:r>
      <w:r>
        <w:rPr>
          <w:rFonts w:ascii="宋体" w:hAnsi="宋体" w:eastAsia="宋体"/>
          <w:sz w:val="21"/>
          <w:szCs w:val="21"/>
        </w:rPr>
        <w:t>2021</w:t>
      </w:r>
      <w:r>
        <w:rPr>
          <w:rFonts w:hint="eastAsia" w:ascii="宋体" w:hAnsi="宋体" w:eastAsia="宋体"/>
          <w:sz w:val="21"/>
          <w:szCs w:val="21"/>
        </w:rPr>
        <w:t>年离职与调薪报告》还未发布，用</w:t>
      </w:r>
      <w:r>
        <w:rPr>
          <w:rFonts w:ascii="宋体" w:hAnsi="宋体" w:eastAsia="宋体"/>
          <w:sz w:val="21"/>
          <w:szCs w:val="21"/>
        </w:rPr>
        <w:t>2014-2020</w:t>
      </w:r>
      <w:r>
        <w:rPr>
          <w:rFonts w:hint="eastAsia" w:ascii="宋体" w:hAnsi="宋体" w:eastAsia="宋体"/>
          <w:sz w:val="21"/>
          <w:szCs w:val="21"/>
        </w:rPr>
        <w:t>年的平均离职率作为对比基准。</w:t>
      </w:r>
    </w:p>
  </w:footnote>
  <w:footnote w:id="5">
    <w:p>
      <w:pPr>
        <w:pStyle w:val="7"/>
        <w:rPr>
          <w:rFonts w:ascii="宋体" w:hAnsi="宋体" w:eastAsia="宋体" w:cs="宋体"/>
          <w:sz w:val="21"/>
          <w:szCs w:val="21"/>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C26C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3"/>
    <w:next w:val="3"/>
    <w:qFormat/>
    <w:uiPriority w:val="9"/>
    <w:pPr>
      <w:keepNext/>
      <w:keepLines/>
      <w:spacing w:before="340" w:after="330" w:line="578" w:lineRule="auto"/>
      <w:outlineLvl w:val="0"/>
    </w:pPr>
    <w:rPr>
      <w:b/>
      <w:bCs/>
      <w:kern w:val="44"/>
      <w:sz w:val="44"/>
      <w:szCs w:val="44"/>
    </w:rPr>
  </w:style>
  <w:style w:type="paragraph" w:styleId="4">
    <w:name w:val="heading 3"/>
    <w:basedOn w:val="1"/>
    <w:next w:val="1"/>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customStyle="1" w:styleId="3">
    <w:name w:val="闻政正文"/>
    <w:basedOn w:val="1"/>
    <w:qFormat/>
    <w:uiPriority w:val="3"/>
    <w:pPr>
      <w:ind w:firstLine="200" w:firstLineChars="200"/>
    </w:pPr>
    <w:rPr>
      <w:rFonts w:ascii="仿宋_GB2312" w:hAnsi="仿宋_GB2312"/>
      <w:sz w:val="32"/>
      <w:szCs w:val="28"/>
      <w:lang w:val="zh-CN"/>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toc 1"/>
    <w:basedOn w:val="1"/>
    <w:next w:val="1"/>
    <w:unhideWhenUsed/>
    <w:qFormat/>
    <w:uiPriority w:val="39"/>
    <w:pPr>
      <w:tabs>
        <w:tab w:val="right" w:leader="dot" w:pos="8834"/>
      </w:tabs>
      <w:spacing w:line="400" w:lineRule="exact"/>
      <w:jc w:val="center"/>
    </w:pPr>
    <w:rPr>
      <w:rFonts w:ascii="仿宋_GB2312" w:hAnsi="仿宋_GB2312" w:cs="黑体"/>
      <w:b/>
      <w:bCs/>
      <w:kern w:val="44"/>
      <w:sz w:val="24"/>
    </w:rPr>
  </w:style>
  <w:style w:type="paragraph" w:styleId="7">
    <w:name w:val="footnote text"/>
    <w:basedOn w:val="1"/>
    <w:semiHidden/>
    <w:unhideWhenUsed/>
    <w:qFormat/>
    <w:uiPriority w:val="99"/>
    <w:pPr>
      <w:snapToGrid w:val="0"/>
      <w:jc w:val="left"/>
    </w:pPr>
    <w:rPr>
      <w:sz w:val="18"/>
      <w:szCs w:val="18"/>
    </w:rPr>
  </w:style>
  <w:style w:type="paragraph" w:styleId="8">
    <w:name w:val="toc 2"/>
    <w:basedOn w:val="1"/>
    <w:next w:val="1"/>
    <w:unhideWhenUsed/>
    <w:qFormat/>
    <w:uiPriority w:val="39"/>
    <w:pPr>
      <w:tabs>
        <w:tab w:val="right" w:leader="dot" w:pos="8834"/>
      </w:tabs>
      <w:spacing w:line="400" w:lineRule="exact"/>
      <w:ind w:left="600" w:leftChars="200"/>
    </w:pPr>
    <w:rPr>
      <w:rFonts w:ascii="仿宋_GB2312" w:hAnsi="仿宋_GB2312" w:cs="楷体_GB2312"/>
      <w:kern w:val="0"/>
      <w:sz w:val="24"/>
    </w:rPr>
  </w:style>
  <w:style w:type="paragraph" w:styleId="9">
    <w:name w:val="Normal (Web)"/>
    <w:basedOn w:val="1"/>
    <w:unhideWhenUsed/>
    <w:qFormat/>
    <w:uiPriority w:val="99"/>
    <w:pPr>
      <w:spacing w:beforeAutospacing="1" w:afterAutospacing="1"/>
      <w:jc w:val="left"/>
    </w:pPr>
    <w:rPr>
      <w:kern w:val="0"/>
      <w:sz w:val="24"/>
    </w:r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footnote reference"/>
    <w:qFormat/>
    <w:uiPriority w:val="99"/>
    <w:rPr>
      <w:vertAlign w:val="superscript"/>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公文三级标题"/>
    <w:basedOn w:val="4"/>
    <w:qFormat/>
    <w:uiPriority w:val="0"/>
    <w:pPr>
      <w:spacing w:before="0" w:after="240" w:line="560" w:lineRule="exact"/>
      <w:ind w:firstLine="643" w:firstLineChars="200"/>
    </w:pPr>
    <w:rPr>
      <w:rFonts w:ascii="仿宋_GB2312" w:cs="仿宋_GB2312"/>
    </w:rPr>
  </w:style>
  <w:style w:type="paragraph" w:customStyle="1" w:styleId="16">
    <w:name w:val="表格字体"/>
    <w:qFormat/>
    <w:uiPriority w:val="0"/>
    <w:pPr>
      <w:widowControl w:val="0"/>
      <w:jc w:val="center"/>
    </w:pPr>
    <w:rPr>
      <w:rFonts w:ascii="仿宋_GB2312" w:hAnsi="Times New Roman" w:eastAsia="仿宋_GB2312" w:cs="仿宋_GB2312"/>
      <w:kern w:val="2"/>
      <w:sz w:val="24"/>
      <w:szCs w:val="24"/>
      <w:lang w:val="en-US" w:eastAsia="zh-CN" w:bidi="ar-SA"/>
    </w:rPr>
  </w:style>
  <w:style w:type="paragraph" w:customStyle="1" w:styleId="17">
    <w:name w:val="闻政表文字"/>
    <w:basedOn w:val="3"/>
    <w:qFormat/>
    <w:uiPriority w:val="5"/>
    <w:pPr>
      <w:spacing w:line="320" w:lineRule="exact"/>
      <w:ind w:firstLine="0" w:firstLineChars="0"/>
      <w:jc w:val="center"/>
    </w:pPr>
    <w:rPr>
      <w:bCs/>
      <w:color w:val="000000"/>
      <w:sz w:val="22"/>
      <w:szCs w:val="22"/>
    </w:rPr>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Sheet1!$C$20</c:f>
              <c:strCache>
                <c:ptCount val="1"/>
                <c:pt idx="0">
                  <c:v>单位员工总数</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lstStyle/>
              <a:p>
                <a:pPr>
                  <a:defRPr lang="zh-CN" sz="1100" b="0" i="0" u="none" strike="noStrike" kern="1200" baseline="0">
                    <a:solidFill>
                      <a:schemeClr val="tx1">
                        <a:lumMod val="75000"/>
                        <a:lumOff val="25000"/>
                      </a:schemeClr>
                    </a:solidFill>
                    <a:latin typeface="Times New Roman" panose="02020603050405020304" charset="0"/>
                    <a:ea typeface="仿宋_GB2312" panose="02010609030101010101" pitchFamily="3" charset="-122"/>
                    <a:cs typeface="Times New Roman" panose="02020603050405020304" charset="0"/>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trendline>
            <c:spPr>
              <a:ln w="19050" cap="rnd" cmpd="sng" algn="ctr">
                <a:solidFill>
                  <a:schemeClr val="accent1"/>
                </a:solidFill>
                <a:prstDash val="sysDot"/>
                <a:round/>
              </a:ln>
              <a:effectLst/>
            </c:spPr>
            <c:trendlineType val="linear"/>
            <c:dispRSqr val="0"/>
            <c:dispEq val="0"/>
          </c:trendline>
          <c:cat>
            <c:strRef>
              <c:f>Sheet1!$B$21:$B$25</c:f>
              <c:strCache>
                <c:ptCount val="5"/>
                <c:pt idx="0">
                  <c:v>2016年</c:v>
                </c:pt>
                <c:pt idx="1">
                  <c:v>2017年</c:v>
                </c:pt>
                <c:pt idx="2">
                  <c:v>2018年</c:v>
                </c:pt>
                <c:pt idx="3">
                  <c:v>2019年</c:v>
                </c:pt>
                <c:pt idx="4">
                  <c:v>2020年</c:v>
                </c:pt>
              </c:strCache>
            </c:strRef>
          </c:cat>
          <c:val>
            <c:numRef>
              <c:f>Sheet1!$C$21:$C$25</c:f>
              <c:numCache>
                <c:formatCode>General</c:formatCode>
                <c:ptCount val="5"/>
                <c:pt idx="0">
                  <c:v>311089</c:v>
                </c:pt>
                <c:pt idx="1">
                  <c:v>305991</c:v>
                </c:pt>
                <c:pt idx="2">
                  <c:v>375082</c:v>
                </c:pt>
                <c:pt idx="3">
                  <c:v>374446</c:v>
                </c:pt>
                <c:pt idx="4">
                  <c:v>382230</c:v>
                </c:pt>
              </c:numCache>
            </c:numRef>
          </c:val>
        </c:ser>
        <c:dLbls>
          <c:showLegendKey val="0"/>
          <c:showVal val="1"/>
          <c:showCatName val="0"/>
          <c:showSerName val="0"/>
          <c:showPercent val="0"/>
          <c:showBubbleSize val="0"/>
        </c:dLbls>
        <c:gapWidth val="219"/>
        <c:overlap val="-27"/>
        <c:axId val="58522624"/>
        <c:axId val="78395264"/>
      </c:barChart>
      <c:lineChart>
        <c:grouping val="standard"/>
        <c:varyColors val="0"/>
        <c:ser>
          <c:idx val="1"/>
          <c:order val="1"/>
          <c:tx>
            <c:strRef>
              <c:f>Sheet1!$D$20</c:f>
              <c:strCache>
                <c:ptCount val="1"/>
                <c:pt idx="0">
                  <c:v>单位人才规模</c:v>
                </c:pt>
              </c:strCache>
            </c:strRef>
          </c:tx>
          <c:spPr>
            <a:ln w="28575" cap="rnd" cmpd="sng" algn="ctr">
              <a:solidFill>
                <a:schemeClr val="accent2"/>
              </a:solidFill>
              <a:prstDash val="solid"/>
              <a:round/>
            </a:ln>
            <a:effectLst/>
          </c:spPr>
          <c:marker>
            <c:symbol val="none"/>
          </c:marker>
          <c:dLbls>
            <c:spPr>
              <a:noFill/>
              <a:ln>
                <a:noFill/>
              </a:ln>
              <a:effectLst/>
            </c:spPr>
            <c:txPr>
              <a:bodyPr rot="0" spcFirstLastPara="1" vertOverflow="ellipsis" vert="horz" wrap="square" lIns="38100" tIns="19050" rIns="38100" bIns="19050" anchor="ctr" anchorCtr="1"/>
              <a:lstStyle/>
              <a:p>
                <a:pPr>
                  <a:defRPr lang="zh-CN" sz="1100" b="0" i="0" u="none" strike="noStrike" kern="1200" baseline="0">
                    <a:solidFill>
                      <a:schemeClr val="tx1">
                        <a:lumMod val="75000"/>
                        <a:lumOff val="25000"/>
                      </a:schemeClr>
                    </a:solidFill>
                    <a:latin typeface="Times New Roman" panose="02020603050405020304" charset="0"/>
                    <a:ea typeface="仿宋_GB2312" panose="02010609030101010101" pitchFamily="3" charset="-122"/>
                    <a:cs typeface="Times New Roman" panose="02020603050405020304" charset="0"/>
                  </a:defRPr>
                </a:pPr>
              </a:p>
            </c:txPr>
            <c:dLblPos val="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Sheet1!$B$21:$B$25</c:f>
              <c:strCache>
                <c:ptCount val="5"/>
                <c:pt idx="0">
                  <c:v>2016年</c:v>
                </c:pt>
                <c:pt idx="1">
                  <c:v>2017年</c:v>
                </c:pt>
                <c:pt idx="2">
                  <c:v>2018年</c:v>
                </c:pt>
                <c:pt idx="3">
                  <c:v>2019年</c:v>
                </c:pt>
                <c:pt idx="4">
                  <c:v>2020年</c:v>
                </c:pt>
              </c:strCache>
            </c:strRef>
          </c:cat>
          <c:val>
            <c:numRef>
              <c:f>Sheet1!$D$21:$D$25</c:f>
              <c:numCache>
                <c:formatCode>General</c:formatCode>
                <c:ptCount val="5"/>
                <c:pt idx="0">
                  <c:v>83674</c:v>
                </c:pt>
                <c:pt idx="1">
                  <c:v>74118</c:v>
                </c:pt>
                <c:pt idx="2">
                  <c:v>101662</c:v>
                </c:pt>
                <c:pt idx="3">
                  <c:v>98834</c:v>
                </c:pt>
                <c:pt idx="4">
                  <c:v>97991</c:v>
                </c:pt>
              </c:numCache>
            </c:numRef>
          </c:val>
          <c:smooth val="0"/>
        </c:ser>
        <c:dLbls>
          <c:showLegendKey val="0"/>
          <c:showVal val="1"/>
          <c:showCatName val="0"/>
          <c:showSerName val="0"/>
          <c:showPercent val="0"/>
          <c:showBubbleSize val="0"/>
        </c:dLbls>
        <c:marker val="0"/>
        <c:smooth val="0"/>
        <c:axId val="58522624"/>
        <c:axId val="78395264"/>
      </c:lineChart>
      <c:catAx>
        <c:axId val="58522624"/>
        <c:scaling>
          <c:orientation val="minMax"/>
        </c:scaling>
        <c:delete val="1"/>
        <c:axPos val="b"/>
        <c:numFmt formatCode="General" sourceLinked="1"/>
        <c:majorTickMark val="none"/>
        <c:minorTickMark val="none"/>
        <c:tickLblPos val="nextTo"/>
        <c:txPr>
          <a:bodyPr rot="-60000000" spcFirstLastPara="1" vertOverflow="ellipsis" vert="horz" wrap="square" anchor="ctr" anchorCtr="1"/>
          <a:lstStyle/>
          <a:p>
            <a:pPr>
              <a:defRPr lang="zh-CN" sz="1100" b="0" i="0" u="none" strike="noStrike" kern="1200" baseline="0">
                <a:solidFill>
                  <a:schemeClr val="tx1">
                    <a:lumMod val="65000"/>
                    <a:lumOff val="35000"/>
                  </a:schemeClr>
                </a:solidFill>
                <a:latin typeface="Times New Roman" panose="02020603050405020304" charset="0"/>
                <a:ea typeface="仿宋_GB2312" panose="02010609030101010101" pitchFamily="3" charset="-122"/>
                <a:cs typeface="Times New Roman" panose="02020603050405020304" charset="0"/>
              </a:defRPr>
            </a:pPr>
          </a:p>
        </c:txPr>
        <c:crossAx val="78395264"/>
        <c:crosses val="autoZero"/>
        <c:auto val="1"/>
        <c:lblAlgn val="ctr"/>
        <c:lblOffset val="100"/>
        <c:noMultiLvlLbl val="0"/>
      </c:catAx>
      <c:valAx>
        <c:axId val="78395264"/>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50" cap="flat" cmpd="sng" algn="ctr">
            <a:noFill/>
            <a:prstDash val="solid"/>
            <a:round/>
          </a:ln>
          <a:effectLst/>
        </c:spPr>
        <c:txPr>
          <a:bodyPr rot="-60000000" spcFirstLastPara="1" vertOverflow="ellipsis" vert="horz" wrap="square" anchor="ctr" anchorCtr="1"/>
          <a:lstStyle/>
          <a:p>
            <a:pPr>
              <a:defRPr lang="zh-CN" sz="1100" b="0" i="0" u="none" strike="noStrike" kern="1200" baseline="0">
                <a:solidFill>
                  <a:schemeClr val="tx1">
                    <a:lumMod val="65000"/>
                    <a:lumOff val="35000"/>
                  </a:schemeClr>
                </a:solidFill>
                <a:latin typeface="Times New Roman" panose="02020603050405020304" charset="0"/>
                <a:ea typeface="仿宋_GB2312" panose="02010609030101010101" pitchFamily="3" charset="-122"/>
                <a:cs typeface="Times New Roman" panose="02020603050405020304" charset="0"/>
              </a:defRPr>
            </a:pPr>
          </a:p>
        </c:txPr>
        <c:crossAx val="58522624"/>
        <c:crosses val="autoZero"/>
        <c:crossBetween val="between"/>
      </c:valAx>
    </c:plotArea>
    <c:legend>
      <c:legendPos val="b"/>
      <c:legendEntry>
        <c:idx val="2"/>
        <c:delete val="1"/>
      </c:legendEntry>
      <c:layout/>
      <c:overlay val="0"/>
      <c:spPr>
        <a:noFill/>
        <a:ln>
          <a:noFill/>
        </a:ln>
        <a:effectLst/>
      </c:spPr>
      <c:txPr>
        <a:bodyPr rot="0" spcFirstLastPara="1" vertOverflow="ellipsis" vert="horz" wrap="square" anchor="ctr" anchorCtr="1"/>
        <a:lstStyle/>
        <a:p>
          <a:pPr>
            <a:defRPr lang="zh-CN" sz="1100" b="0" i="0" u="none" strike="noStrike" kern="1200" baseline="0">
              <a:solidFill>
                <a:schemeClr val="tx1">
                  <a:lumMod val="65000"/>
                  <a:lumOff val="35000"/>
                </a:schemeClr>
              </a:solidFill>
              <a:latin typeface="Times New Roman" panose="02020603050405020304" charset="0"/>
              <a:ea typeface="仿宋_GB2312" panose="02010609030101010101" pitchFamily="3" charset="-122"/>
              <a:cs typeface="Times New Roman" panose="02020603050405020304" charset="0"/>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sz="1100">
          <a:latin typeface="Times New Roman" panose="02020603050405020304" charset="0"/>
          <a:ea typeface="仿宋_GB2312" panose="02010609030101010101" pitchFamily="3" charset="-122"/>
          <a:cs typeface="Times New Roman" panose="02020603050405020304" charset="0"/>
        </a:defRPr>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40</TotalTime>
  <ScaleCrop>false</ScaleCrop>
  <LinksUpToDate>false</LinksUpToDate>
  <CharactersWithSpaces>0</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2021-12-12T13:16:38Z</dcterms:created>
  <dc:creator>admin</dc:creator>
  <cp:lastModifiedBy>张绍良</cp:lastModifiedBy>
  <dcterms:modified xsi:type="dcterms:W3CDTF">2021-12-13T02:19:24Z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