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宋体" w:hAnsi="宋体"/>
          <w:sz w:val="44"/>
          <w:szCs w:val="44"/>
        </w:rPr>
      </w:pPr>
      <w:r>
        <w:rPr>
          <w:rFonts w:ascii="宋体" w:hAnsi="宋体"/>
          <w:sz w:val="44"/>
          <w:szCs w:val="44"/>
        </w:rPr>
        <w:t>20</w:t>
      </w:r>
      <w:r>
        <w:rPr>
          <w:rFonts w:hint="eastAsia" w:ascii="宋体" w:hAnsi="宋体"/>
          <w:sz w:val="44"/>
          <w:szCs w:val="44"/>
        </w:rPr>
        <w:t>20</w:t>
      </w:r>
      <w:r>
        <w:rPr>
          <w:rFonts w:ascii="宋体" w:hAnsi="宋体"/>
          <w:sz w:val="44"/>
          <w:szCs w:val="44"/>
        </w:rPr>
        <w:t>年</w:t>
      </w:r>
      <w:r>
        <w:rPr>
          <w:rFonts w:hint="eastAsia" w:ascii="宋体" w:hAnsi="宋体"/>
          <w:sz w:val="44"/>
          <w:szCs w:val="44"/>
        </w:rPr>
        <w:t>度部门</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部门名称（公章）：深圳市龙华区人力资源局</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填报人：</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联系电话：</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snapToGrid w:val="0"/>
        <w:spacing w:line="580" w:lineRule="exact"/>
        <w:ind w:firstLine="640" w:firstLineChars="200"/>
        <w:rPr>
          <w:rFonts w:ascii="黑体" w:hAnsi="黑体" w:eastAsia="黑体" w:cs="黑体"/>
          <w:bCs/>
          <w:sz w:val="32"/>
          <w:szCs w:val="32"/>
        </w:rPr>
        <w:sectPr>
          <w:footerReference r:id="rId3" w:type="default"/>
          <w:pgSz w:w="11906" w:h="16838"/>
          <w:pgMar w:top="1440" w:right="1134" w:bottom="1440" w:left="1134" w:header="851" w:footer="992" w:gutter="0"/>
          <w:cols w:space="425" w:num="1"/>
          <w:docGrid w:type="lines" w:linePitch="312" w:charSpace="0"/>
        </w:sectPr>
      </w:pP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snapToGrid w:val="0"/>
        <w:spacing w:line="580" w:lineRule="exact"/>
        <w:ind w:firstLine="643" w:firstLineChars="200"/>
        <w:rPr>
          <w:rFonts w:ascii="仿宋_GB2312" w:hAnsi="Adobe 楷体 Std R" w:eastAsia="仿宋_GB2312"/>
          <w:b/>
          <w:bCs/>
          <w:color w:val="000000"/>
          <w:sz w:val="32"/>
          <w:szCs w:val="32"/>
        </w:rPr>
      </w:pPr>
      <w:r>
        <w:rPr>
          <w:rFonts w:hint="eastAsia" w:ascii="仿宋_GB2312" w:hAnsi="Adobe 楷体 Std R" w:eastAsia="仿宋_GB2312"/>
          <w:b/>
          <w:bCs/>
          <w:color w:val="000000"/>
          <w:sz w:val="32"/>
          <w:szCs w:val="32"/>
        </w:rPr>
        <w:t>（一）部门主要职能。</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我局于2019年3月8日挂牌成立，主要职能包括：</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1</w:t>
      </w:r>
      <w:r>
        <w:rPr>
          <w:rFonts w:ascii="仿宋_GB2312" w:hAnsi="Adobe 楷体 Std R" w:eastAsia="仿宋_GB2312"/>
          <w:color w:val="000000" w:themeColor="text1"/>
          <w:sz w:val="32"/>
          <w:szCs w:val="32"/>
          <w14:textFill>
            <w14:solidFill>
              <w14:schemeClr w14:val="tx1"/>
            </w14:solidFill>
          </w14:textFill>
        </w:rPr>
        <w:t>.</w:t>
      </w:r>
      <w:r>
        <w:rPr>
          <w:rFonts w:hint="eastAsia" w:ascii="仿宋_GB2312" w:hAnsi="Adobe 楷体 Std R" w:eastAsia="仿宋_GB2312"/>
          <w:color w:val="000000" w:themeColor="text1"/>
          <w:sz w:val="32"/>
          <w:szCs w:val="32"/>
          <w14:textFill>
            <w14:solidFill>
              <w14:schemeClr w14:val="tx1"/>
            </w14:solidFill>
          </w14:textFill>
        </w:rPr>
        <w:t>拟订人力资源事业发展政策、规划并组织实施，具体包括拟订人力资源市场发展规划和人力资源服务业发展、人力资源流动政策，促进人力资源合理流动、有效配置。</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2.参与拟订全区人才发展规划和人才工作政策，承担国家、省、市、区有关人才工程、计划和项目的推荐、审核、选拔及服务工作，拟订并组织实施吸引留学人员来本区创新创业政策。</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3.综合管理职称工作，牵头推进深化职称制度改革。负责专业技术人员管理、继续教育和博士后管理工作。组织拟订技能人才培养、评价、使用和激励制度，落实职业资格制度和职业技能多元化评价政策。</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4.开展专业技术资格申报评审，大中专院校毕业生初次专业技术资格考核认定（初级、中级），负责专业技术人员的继续教育工作。</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5.负责促进就业创业工作，落实上级有关劳动者平等就业、促进就业、创业带动就业等政策，组织开展技能人才规划和培养工作，完善全区公共就业和技能人才服务体系。</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6.会同有关部门开展异地务工人员管理服务工作，协调解决重点难点问题，维护异地务工人员合法权益。负责开展区域劳务合作。</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7.统筹拟订劳动人事争议调解仲裁制度和劳动关系政策并组织实施，完善劳动关系协调机制，指导企业执行职工工时、休假制度和女工、未成年工的特殊劳动保护政策。组织实施劳动保障监察，协调劳动者维权工作，依法查处重大案件，依法分类处理群众诉求。</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8.依法履行人力资源行业领域安全生产相关职责。</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9.完成区委、区政府和上级部门交办的其他任务。</w:t>
      </w:r>
    </w:p>
    <w:p>
      <w:pPr>
        <w:snapToGrid w:val="0"/>
        <w:spacing w:line="580" w:lineRule="exact"/>
        <w:ind w:firstLine="640" w:firstLineChars="200"/>
        <w:rPr>
          <w:rFonts w:ascii="仿宋_GB2312" w:hAnsi="Adobe 楷体 Std R" w:eastAsia="仿宋_GB2312"/>
          <w:color w:val="000000"/>
          <w:sz w:val="32"/>
          <w:szCs w:val="32"/>
        </w:rPr>
      </w:pPr>
      <w:r>
        <w:rPr>
          <w:rFonts w:hint="eastAsia" w:ascii="仿宋_GB2312" w:hAnsi="Adobe 楷体 Std R" w:eastAsia="仿宋_GB2312"/>
          <w:color w:val="000000" w:themeColor="text1"/>
          <w:sz w:val="32"/>
          <w:szCs w:val="32"/>
          <w14:textFill>
            <w14:solidFill>
              <w14:schemeClr w14:val="tx1"/>
            </w14:solidFill>
          </w14:textFill>
        </w:rPr>
        <w:t>10.职能转变。区人力资源局应深入推进简政放权、放管结合、优化服务改革，进一步减少行政审批事项，规范和优化对外办理事项，减少职业资格许可和认定等审批事项，落实国家职业资格目录清单管理，加强事中事后监管，创新就业和社会保障等公共服务方式，加强信息共享，提高公共服务水平。</w:t>
      </w:r>
    </w:p>
    <w:p>
      <w:pPr>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（二）年度总体工作和重点工作任务。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2020年度结合我局主要职能以及区委区政府、上级有关部门下达或交办的工作任务，以及部门年度工作计划确定的重点工作，主要有以下几点：</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1.疫情期间率先开展返岗复工“点对点”专车专列接返服务；</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2.创新开展线上招聘平台建设及服务；</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3.积极助力脱贫攻坚协助对口帮扶就业；</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4.党建引领脱贫攻坚，助推贫困村提前摘帽；</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5.搭好民心桥，构建和谐劳动关系，深化和谐产业园区创建工作，形成龙华特色劳动品牌；</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6.积极跟进景乐南北片区人力资源专项行动；</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7.大力推进公益人力资源服务市场及产业园建设；</w:t>
      </w:r>
    </w:p>
    <w:p>
      <w:pPr>
        <w:snapToGrid w:val="0"/>
        <w:spacing w:line="580" w:lineRule="exact"/>
        <w:ind w:firstLine="640" w:firstLineChars="200"/>
        <w:rPr>
          <w:rFonts w:ascii="仿宋_GB2312" w:hAnsi="Adobe 楷体 Std R" w:eastAsia="仿宋_GB2312"/>
          <w:color w:val="000000" w:themeColor="text1"/>
          <w:sz w:val="32"/>
          <w:szCs w:val="32"/>
          <w14:textFill>
            <w14:solidFill>
              <w14:schemeClr w14:val="tx1"/>
            </w14:solidFill>
          </w14:textFill>
        </w:rPr>
      </w:pPr>
      <w:r>
        <w:rPr>
          <w:rFonts w:hint="eastAsia" w:ascii="仿宋_GB2312" w:hAnsi="Adobe 楷体 Std R" w:eastAsia="仿宋_GB2312"/>
          <w:color w:val="000000" w:themeColor="text1"/>
          <w:sz w:val="32"/>
          <w:szCs w:val="32"/>
          <w14:textFill>
            <w14:solidFill>
              <w14:schemeClr w14:val="tx1"/>
            </w14:solidFill>
          </w14:textFill>
        </w:rPr>
        <w:t>8.源头治理，督促保障农民工工资支付工作落实到位；</w:t>
      </w:r>
    </w:p>
    <w:p>
      <w:pPr>
        <w:snapToGrid w:val="0"/>
        <w:spacing w:line="580" w:lineRule="exact"/>
        <w:ind w:firstLine="640" w:firstLineChars="200"/>
      </w:pPr>
      <w:r>
        <w:rPr>
          <w:rFonts w:hint="eastAsia" w:ascii="仿宋_GB2312" w:hAnsi="Adobe 楷体 Std R" w:eastAsia="仿宋_GB2312"/>
          <w:color w:val="000000" w:themeColor="text1"/>
          <w:sz w:val="32"/>
          <w:szCs w:val="32"/>
          <w14:textFill>
            <w14:solidFill>
              <w14:schemeClr w14:val="tx1"/>
            </w14:solidFill>
          </w14:textFill>
        </w:rPr>
        <w:t>9.规行矩止，不断提高我区调解工作的规范化、标准化、专业化水平。</w:t>
      </w:r>
    </w:p>
    <w:p>
      <w:pPr>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（三）2020年部门预算编制情况。</w:t>
      </w:r>
    </w:p>
    <w:p>
      <w:pPr>
        <w:snapToGrid w:val="0"/>
        <w:spacing w:line="540" w:lineRule="exact"/>
        <w:ind w:firstLine="640" w:firstLineChars="200"/>
        <w:rPr>
          <w:rFonts w:ascii="仿宋_GB2312" w:hAnsi="楷体_GB2312" w:eastAsia="仿宋_GB2312" w:cs="仿宋_GB2312"/>
          <w:sz w:val="32"/>
          <w:szCs w:val="32"/>
        </w:rPr>
      </w:pPr>
      <w:r>
        <w:rPr>
          <w:rFonts w:hint="eastAsia" w:ascii="仿宋_GB2312" w:hAnsi="楷体_GB2312" w:eastAsia="仿宋_GB2312" w:cs="仿宋_GB2312"/>
          <w:sz w:val="32"/>
          <w:szCs w:val="32"/>
        </w:rPr>
        <w:t>（1）年初总预算收入为39,701.00万元，其中财政补助收入为39,701.00万元；调整后总预算收入为56,247.50万元，其中一般公共预算财政补助收入为55,997.50万元、政府性基金预算财政拨款收入为250.00万元。</w:t>
      </w:r>
    </w:p>
    <w:p>
      <w:pPr>
        <w:snapToGrid w:val="0"/>
        <w:spacing w:line="540" w:lineRule="exact"/>
        <w:ind w:firstLine="640" w:firstLineChars="200"/>
      </w:pPr>
      <w:r>
        <w:rPr>
          <w:rFonts w:hint="eastAsia" w:ascii="仿宋_GB2312" w:hAnsi="楷体_GB2312" w:eastAsia="仿宋_GB2312" w:cs="仿宋_GB2312"/>
          <w:sz w:val="32"/>
          <w:szCs w:val="32"/>
        </w:rPr>
        <w:t>（2）年初总预算支出为39,701.00万元，其中基本支出为1,524.00万元，项目支出为38,177.00万元；调整后总预算支出为56,247.50万元，其中基本支出为1,290.49万元，项目支出为54,957.01万元。</w:t>
      </w:r>
    </w:p>
    <w:p>
      <w:pPr>
        <w:snapToGrid w:val="0"/>
        <w:spacing w:line="580" w:lineRule="exact"/>
        <w:ind w:firstLine="643" w:firstLineChars="200"/>
        <w:rPr>
          <w:rFonts w:ascii="仿宋_GB2312" w:hAnsi="楷体_GB2312" w:eastAsia="仿宋_GB2312" w:cs="楷体_GB2312"/>
          <w:b/>
          <w:sz w:val="32"/>
          <w:szCs w:val="32"/>
          <w:highlight w:val="cyan"/>
        </w:rPr>
      </w:pPr>
      <w:r>
        <w:rPr>
          <w:rFonts w:hint="eastAsia" w:ascii="仿宋_GB2312" w:hAnsi="楷体_GB2312" w:eastAsia="仿宋_GB2312" w:cs="楷体_GB2312"/>
          <w:b/>
          <w:sz w:val="32"/>
          <w:szCs w:val="32"/>
        </w:rPr>
        <w:t>（四）2020年部门预算执行情况。</w:t>
      </w:r>
    </w:p>
    <w:p>
      <w:pPr>
        <w:snapToGrid w:val="0"/>
        <w:spacing w:line="580" w:lineRule="exact"/>
        <w:ind w:firstLine="640" w:firstLineChars="200"/>
        <w:rPr>
          <w:rFonts w:ascii="仿宋_GB2312" w:hAnsi="楷体_GB2312" w:eastAsia="仿宋_GB2312" w:cs="楷体_GB2312"/>
          <w:bCs/>
          <w:color w:val="000000" w:themeColor="text1"/>
          <w:sz w:val="32"/>
          <w:szCs w:val="32"/>
          <w14:textFill>
            <w14:solidFill>
              <w14:schemeClr w14:val="tx1"/>
            </w14:solidFill>
          </w14:textFill>
        </w:rPr>
      </w:pPr>
      <w:r>
        <w:rPr>
          <w:rFonts w:hint="eastAsia" w:ascii="仿宋_GB2312" w:hAnsi="楷体_GB2312" w:eastAsia="仿宋_GB2312" w:cs="楷体_GB2312"/>
          <w:bCs/>
          <w:color w:val="000000" w:themeColor="text1"/>
          <w:sz w:val="32"/>
          <w:szCs w:val="32"/>
          <w14:textFill>
            <w14:solidFill>
              <w14:schemeClr w14:val="tx1"/>
            </w14:solidFill>
          </w14:textFill>
        </w:rPr>
        <w:t>我局在资金、项目、资产和人员</w:t>
      </w:r>
      <w:r>
        <w:rPr>
          <w:rFonts w:hint="eastAsia" w:ascii="仿宋_GB2312" w:hAnsi="楷体_GB2312" w:eastAsia="仿宋_GB2312" w:cs="仿宋_GB2312"/>
          <w:sz w:val="32"/>
          <w:szCs w:val="32"/>
        </w:rPr>
        <w:t>等方面严格按照预算执行，部分超出年初预算的项目会及时申请项目间的调剂或追加预算，并经过恰当审批。在资金管理方面，采用收支两条线，</w:t>
      </w:r>
      <w:r>
        <w:rPr>
          <w:rFonts w:hint="eastAsia" w:ascii="仿宋" w:hAnsi="仿宋" w:eastAsia="仿宋" w:cs="仿宋"/>
          <w:color w:val="333333"/>
          <w:sz w:val="32"/>
          <w:szCs w:val="32"/>
          <w:shd w:val="clear" w:color="auto" w:fill="FFFFFF"/>
        </w:rPr>
        <w:t>及时缴入国库，不存在资金滞留、坐支、挪用的情况。</w:t>
      </w:r>
      <w:r>
        <w:rPr>
          <w:rFonts w:hint="eastAsia" w:ascii="仿宋" w:hAnsi="仿宋" w:eastAsia="仿宋" w:cs="仿宋"/>
          <w:sz w:val="32"/>
          <w:szCs w:val="32"/>
        </w:rPr>
        <w:t>合理分解各项费用，持续有效控制支出，实行预算支出精细化管理，全面提高预算支出综合管控水平。</w:t>
      </w:r>
    </w:p>
    <w:p>
      <w:pPr>
        <w:snapToGrid w:val="0"/>
        <w:spacing w:line="580" w:lineRule="exact"/>
        <w:ind w:firstLine="640" w:firstLineChars="200"/>
        <w:outlineLvl w:val="2"/>
        <w:rPr>
          <w:rFonts w:ascii="仿宋_GB2312" w:hAnsi="宋体" w:eastAsia="仿宋_GB2312" w:cs="宋体"/>
          <w:bCs/>
          <w:snapToGrid w:val="0"/>
          <w:color w:val="000000" w:themeColor="text1"/>
          <w:kern w:val="0"/>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1.资金管理</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2020年度部门预算安排资金56,247.50万元，全年实际支出85,509.38万元，全年实际执行率为152.02%，其中人员经费预算安排1,203.20万元，实际支出1,190.86万元，完成比例为98.97%，全部用于工资福利支出；日常公用经费预算安排87.29万元，实际支出77.26万元，完成比例为88.51%，其中“三公”经费预算安排33.00万元，实际支出3.87万元，包括公务用车运行维护费3.87万元，主要原因是由于新冠疫情的影响，导致公务外出减少，公务车使用减少，公务用车运行维护费减少。</w:t>
      </w:r>
    </w:p>
    <w:p>
      <w:pPr>
        <w:snapToGrid w:val="0"/>
        <w:spacing w:line="580"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本年度政府采购计划安排资金41.00万元，主要用于货物项目，实际采购金额为20.35万元，预算执行率为49.64%，</w:t>
      </w:r>
      <w:r>
        <w:rPr>
          <w:rFonts w:hint="eastAsia" w:ascii="仿宋_GB2312" w:hAnsi="仿宋_GB2312" w:eastAsia="仿宋_GB2312" w:cs="仿宋_GB2312"/>
          <w:color w:val="000000" w:themeColor="text1"/>
          <w:sz w:val="32"/>
          <w:szCs w:val="32"/>
          <w:highlight w:val="yellow"/>
          <w14:textFill>
            <w14:solidFill>
              <w14:schemeClr w14:val="tx1"/>
            </w14:solidFill>
          </w14:textFill>
        </w:rPr>
        <w:t>主要原因是</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上级部门审批程序修订，导致无法采购新车辆</w:t>
      </w:r>
      <w:r>
        <w:rPr>
          <w:rFonts w:hint="eastAsia" w:ascii="仿宋_GB2312" w:hAnsi="仿宋_GB2312" w:eastAsia="仿宋_GB2312" w:cs="仿宋_GB2312"/>
          <w:color w:val="000000" w:themeColor="text1"/>
          <w:sz w:val="32"/>
          <w:szCs w:val="32"/>
          <w:highlight w:val="yellow"/>
          <w14:textFill>
            <w14:solidFill>
              <w14:schemeClr w14:val="tx1"/>
            </w14:solidFill>
          </w14:textFill>
        </w:rPr>
        <w:t>。</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项目支出预算54,957.01万元，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实际支出84,241.25万元，完成比例为</w:t>
      </w:r>
      <w:r>
        <w:rPr>
          <w:rFonts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53.29%，支出数超预算数的原因是我单位的职业技能提升行动专项、欠薪应急专项资金项目支出分别由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w:t>
      </w:r>
      <w:r>
        <w:rPr>
          <w:rFonts w:hint="eastAsia" w:ascii="仿宋_GB2312" w:hAnsi="仿宋_GB2312" w:eastAsia="仿宋_GB2312" w:cs="仿宋_GB2312"/>
          <w:color w:val="000000" w:themeColor="text1"/>
          <w:sz w:val="32"/>
          <w:szCs w:val="32"/>
          <w:highlight w:val="none"/>
          <w14:textFill>
            <w14:solidFill>
              <w14:schemeClr w14:val="tx1"/>
            </w14:solidFill>
          </w14:textFill>
        </w:rPr>
        <w:t>人力资源和社会保障局、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w:t>
      </w:r>
      <w:r>
        <w:rPr>
          <w:rFonts w:hint="eastAsia" w:ascii="仿宋_GB2312" w:hAnsi="仿宋_GB2312" w:eastAsia="仿宋_GB2312" w:cs="仿宋_GB2312"/>
          <w:color w:val="000000" w:themeColor="text1"/>
          <w:sz w:val="32"/>
          <w:szCs w:val="32"/>
          <w:highlight w:val="none"/>
          <w14:textFill>
            <w14:solidFill>
              <w14:schemeClr w14:val="tx1"/>
            </w14:solidFill>
          </w14:textFill>
        </w:rPr>
        <w:t>市欠薪保障基金委员会统筹拨付的，我局是使用单位，为保证我局所有经济业务都进行会计核算，均纳入到会计核算中，所以项目的支出数大于预算数。我局202</w:t>
      </w:r>
      <w:r>
        <w:rPr>
          <w:rFonts w:hint="eastAsia" w:ascii="仿宋_GB2312" w:hAnsi="仿宋_GB2312" w:eastAsia="仿宋_GB2312" w:cs="仿宋_GB2312"/>
          <w:color w:val="000000" w:themeColor="text1"/>
          <w:sz w:val="32"/>
          <w:szCs w:val="32"/>
          <w14:textFill>
            <w14:solidFill>
              <w14:schemeClr w14:val="tx1"/>
            </w14:solidFill>
          </w14:textFill>
        </w:rPr>
        <w:t>0年度</w:t>
      </w:r>
      <w:bookmarkStart w:id="0" w:name="_Hlk517895065"/>
      <w:r>
        <w:rPr>
          <w:rFonts w:hint="eastAsia" w:ascii="仿宋_GB2312" w:hAnsi="仿宋_GB2312" w:eastAsia="仿宋_GB2312" w:cs="仿宋_GB2312"/>
          <w:color w:val="000000" w:themeColor="text1"/>
          <w:sz w:val="32"/>
          <w:szCs w:val="32"/>
          <w14:textFill>
            <w14:solidFill>
              <w14:schemeClr w14:val="tx1"/>
            </w14:solidFill>
          </w14:textFill>
        </w:rPr>
        <w:t>四个季度支出进度分别为42.37%、60.72%、81.09%、99.39%，</w:t>
      </w:r>
      <w:r>
        <w:rPr>
          <w:rFonts w:hint="eastAsia" w:ascii="仿宋_GB2312" w:eastAsia="仿宋_GB2312"/>
          <w:color w:val="000000" w:themeColor="text1"/>
          <w:kern w:val="0"/>
          <w:sz w:val="32"/>
          <w:szCs w:val="32"/>
          <w14:textFill>
            <w14:solidFill>
              <w14:schemeClr w14:val="tx1"/>
            </w14:solidFill>
          </w14:textFill>
        </w:rPr>
        <w:t>支付进度与既定支付进度基本匹配，预算执行及时</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预算执行规范，按规定履行调整报批手续，资金管理、费用标准、支出严格按照预算批复、业务需求及相关财务制度规定执行，无超范围、超标准支出，不存在截留、挤占、挪用项目资金情况。规范执行会计核算制度，不存在支出依据不合规、虚列项目支出的情况。</w:t>
      </w:r>
    </w:p>
    <w:bookmarkEnd w:id="0"/>
    <w:p>
      <w:pPr>
        <w:snapToGrid w:val="0"/>
        <w:spacing w:line="580" w:lineRule="exact"/>
        <w:ind w:firstLine="640" w:firstLineChars="200"/>
        <w:outlineLvl w:val="2"/>
        <w:rPr>
          <w:rFonts w:ascii="仿宋_GB2312" w:hAnsi="宋体" w:eastAsia="仿宋_GB2312" w:cs="宋体"/>
          <w:bCs/>
          <w:snapToGrid w:val="0"/>
          <w:color w:val="000000" w:themeColor="text1"/>
          <w:kern w:val="0"/>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2.项目管理</w:t>
      </w:r>
    </w:p>
    <w:p>
      <w:pPr>
        <w:snapToGrid w:val="0"/>
        <w:spacing w:line="580" w:lineRule="exact"/>
        <w:ind w:firstLine="640" w:firstLineChars="200"/>
        <w:rPr>
          <w:rFonts w:ascii="仿宋_GB2312" w:hAnsi="宋体" w:eastAsia="仿宋_GB2312" w:cs="宋体"/>
          <w:b/>
          <w:snapToGrid w:val="0"/>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我局所有项目支出预算编制纳入项目库管理。项目支出预算54,957.01万元，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实际支出84,241.25万元</w:t>
      </w:r>
      <w:r>
        <w:rPr>
          <w:rFonts w:hint="eastAsia" w:ascii="仿宋_GB2312" w:hAnsi="仿宋_GB2312" w:eastAsia="仿宋_GB2312" w:cs="仿宋_GB2312"/>
          <w:color w:val="000000" w:themeColor="text1"/>
          <w:sz w:val="32"/>
          <w:szCs w:val="32"/>
          <w14:textFill>
            <w14:solidFill>
              <w14:schemeClr w14:val="tx1"/>
            </w14:solidFill>
          </w14:textFill>
        </w:rPr>
        <w:t>，完成比例为</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53.29%。其中职业技能竞赛类项目100.00万元纳入绩效目标管理，实际支出99.99万元，完成比例为99.99%，所有资金使用严格按照合同要求及制定的管理考核标准按季度实施。项目支出预算的安排与单位履职相符合。</w:t>
      </w:r>
    </w:p>
    <w:p>
      <w:pPr>
        <w:snapToGrid w:val="0"/>
        <w:spacing w:line="580" w:lineRule="exact"/>
        <w:ind w:firstLine="640" w:firstLineChars="200"/>
        <w:outlineLvl w:val="2"/>
        <w:rPr>
          <w:rFonts w:ascii="仿宋_GB2312" w:hAnsi="宋体" w:eastAsia="仿宋_GB2312" w:cs="宋体"/>
          <w:bCs/>
          <w:snapToGrid w:val="0"/>
          <w:color w:val="000000" w:themeColor="text1"/>
          <w:kern w:val="0"/>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3.资产管理</w:t>
      </w:r>
    </w:p>
    <w:p>
      <w:pPr>
        <w:snapToGrid w:val="0"/>
        <w:spacing w:line="540"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我局2020年度总资产14,050.48万元，其中流动资产13,797.69万元，固定资产净值182.83万元，在建工程69.96万元。</w:t>
      </w:r>
      <w:r>
        <w:rPr>
          <w:rFonts w:hint="eastAsia" w:ascii="仿宋_GB2312" w:hAnsi="楷体_GB2312" w:eastAsia="仿宋_GB2312" w:cs="仿宋_GB2312"/>
          <w:sz w:val="32"/>
          <w:szCs w:val="32"/>
        </w:rPr>
        <w:t>在资产管理方面，做到合理配置资产，无闲置资产，对资产设备设立专人管理，建立了专门的资产设备管理系统，各项资产设备均贴有资产标签，将责任落实到个人。</w:t>
      </w:r>
    </w:p>
    <w:p>
      <w:pPr>
        <w:snapToGrid w:val="0"/>
        <w:spacing w:line="580" w:lineRule="exact"/>
        <w:ind w:firstLine="640" w:firstLineChars="200"/>
        <w:outlineLvl w:val="2"/>
        <w:rPr>
          <w:rFonts w:ascii="仿宋_GB2312" w:hAnsi="宋体" w:eastAsia="仿宋_GB2312" w:cs="宋体"/>
          <w:bCs/>
          <w:snapToGrid w:val="0"/>
          <w:color w:val="000000" w:themeColor="text1"/>
          <w:kern w:val="0"/>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4.人员管理</w:t>
      </w:r>
    </w:p>
    <w:p>
      <w:pPr>
        <w:snapToGrid w:val="0"/>
        <w:spacing w:line="580" w:lineRule="exact"/>
        <w:ind w:firstLine="640"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我局2020年核定编制数（含工勤人员）35人，其中行政人员20人、事业人员15人。2020年末实有人数（含工勤人员）29人，其中行政人员18人、事业人员11人。严格控制财政供养人员。</w:t>
      </w:r>
    </w:p>
    <w:p>
      <w:pPr>
        <w:snapToGrid w:val="0"/>
        <w:spacing w:line="580" w:lineRule="exact"/>
        <w:ind w:firstLine="640" w:firstLineChars="200"/>
        <w:outlineLvl w:val="2"/>
        <w:rPr>
          <w:rFonts w:ascii="仿宋_GB2312" w:hAnsi="宋体" w:eastAsia="仿宋_GB2312" w:cs="宋体"/>
          <w:bCs/>
          <w:snapToGrid w:val="0"/>
          <w:color w:val="000000" w:themeColor="text1"/>
          <w:kern w:val="0"/>
          <w:sz w:val="32"/>
          <w:szCs w:val="32"/>
          <w14:textFill>
            <w14:solidFill>
              <w14:schemeClr w14:val="tx1"/>
            </w14:solidFill>
          </w14:textFill>
        </w:rPr>
      </w:pPr>
      <w:r>
        <w:rPr>
          <w:rFonts w:hint="eastAsia" w:ascii="仿宋_GB2312" w:hAnsi="宋体" w:eastAsia="仿宋_GB2312" w:cs="宋体"/>
          <w:bCs/>
          <w:snapToGrid w:val="0"/>
          <w:color w:val="000000" w:themeColor="text1"/>
          <w:kern w:val="0"/>
          <w:sz w:val="32"/>
          <w:szCs w:val="32"/>
          <w14:textFill>
            <w14:solidFill>
              <w14:schemeClr w14:val="tx1"/>
            </w14:solidFill>
          </w14:textFill>
        </w:rPr>
        <w:t>5.制度管理</w:t>
      </w:r>
    </w:p>
    <w:p>
      <w:pPr>
        <w:snapToGrid w:val="0"/>
        <w:spacing w:line="580" w:lineRule="exact"/>
        <w:ind w:firstLine="640" w:firstLineChars="200"/>
        <w:rPr>
          <w:rFonts w:ascii="仿宋_GB2312" w:hAnsi="楷体_GB2312" w:eastAsia="仿宋_GB2312" w:cs="楷体_GB2312"/>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为进一步落实内部控制管理和预算绩效管理要求，我局制定了《深圳市龙华区人力资源局内部控制手册》，建立健全涵盖财务管理、预算管理、采购管理、固定资产管理、合同管理和车辆管理等在内6模块的经济业务制度和流程，强化制度刚性执行，形成以制度管人管事的良好氛围。</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二、部门主要履职绩效分析</w:t>
      </w:r>
    </w:p>
    <w:p>
      <w:pPr>
        <w:spacing w:line="560" w:lineRule="exact"/>
        <w:ind w:firstLine="640" w:firstLineChars="200"/>
      </w:pPr>
      <w:r>
        <w:rPr>
          <w:rFonts w:hint="eastAsia" w:eastAsia="仿宋_GB2312"/>
          <w:color w:val="000000" w:themeColor="text1"/>
          <w:sz w:val="32"/>
          <w14:textFill>
            <w14:solidFill>
              <w14:schemeClr w14:val="tx1"/>
            </w14:solidFill>
          </w14:textFill>
        </w:rPr>
        <w:t>按照“部门职责</w:t>
      </w:r>
      <w:r>
        <w:rPr>
          <w:rFonts w:eastAsia="仿宋_GB2312"/>
          <w:color w:val="000000" w:themeColor="text1"/>
          <w:sz w:val="32"/>
          <w14:textFill>
            <w14:solidFill>
              <w14:schemeClr w14:val="tx1"/>
            </w14:solidFill>
          </w14:textFill>
        </w:rPr>
        <w:t>—</w:t>
      </w:r>
      <w:r>
        <w:rPr>
          <w:rFonts w:hint="eastAsia" w:eastAsia="仿宋_GB2312"/>
          <w:color w:val="000000" w:themeColor="text1"/>
          <w:sz w:val="32"/>
          <w14:textFill>
            <w14:solidFill>
              <w14:schemeClr w14:val="tx1"/>
            </w14:solidFill>
          </w14:textFill>
        </w:rPr>
        <w:t>工作任务</w:t>
      </w:r>
      <w:r>
        <w:rPr>
          <w:rFonts w:eastAsia="仿宋_GB2312"/>
          <w:color w:val="000000" w:themeColor="text1"/>
          <w:sz w:val="32"/>
          <w14:textFill>
            <w14:solidFill>
              <w14:schemeClr w14:val="tx1"/>
            </w14:solidFill>
          </w14:textFill>
        </w:rPr>
        <w:t>—</w:t>
      </w:r>
      <w:r>
        <w:rPr>
          <w:rFonts w:hint="eastAsia" w:eastAsia="仿宋_GB2312"/>
          <w:color w:val="000000" w:themeColor="text1"/>
          <w:sz w:val="32"/>
          <w14:textFill>
            <w14:solidFill>
              <w14:schemeClr w14:val="tx1"/>
            </w14:solidFill>
          </w14:textFill>
        </w:rPr>
        <w:t>预算项目”三个层级规范部门预算绩效管理结构，结合我局主要职责</w:t>
      </w:r>
      <w:r>
        <w:rPr>
          <w:rFonts w:hint="eastAsia" w:ascii="仿宋_GB2312" w:hAnsi="仿宋_GB2312" w:eastAsia="仿宋_GB2312" w:cs="仿宋_GB2312"/>
          <w:color w:val="000000" w:themeColor="text1"/>
          <w:sz w:val="32"/>
          <w:szCs w:val="32"/>
          <w14:textFill>
            <w14:solidFill>
              <w14:schemeClr w14:val="tx1"/>
            </w14:solidFill>
          </w14:textFill>
        </w:rPr>
        <w:t>和2020年</w:t>
      </w:r>
      <w:r>
        <w:rPr>
          <w:rFonts w:hint="eastAsia" w:eastAsia="仿宋_GB2312"/>
          <w:color w:val="000000" w:themeColor="text1"/>
          <w:sz w:val="32"/>
          <w14:textFill>
            <w14:solidFill>
              <w14:schemeClr w14:val="tx1"/>
            </w14:solidFill>
          </w14:textFill>
        </w:rPr>
        <w:t>重点工作任务，对预算使用绩效进行分析。分析内容包括但不限于以下几项：</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（一）主要履职目标</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2020年，我局以习近平新时代中国特色社会主义思想为指导，全面贯彻党的十九大和</w:t>
      </w:r>
      <w:r>
        <w:rPr>
          <w:rFonts w:hint="eastAsia" w:ascii="仿宋_GB2312" w:eastAsia="仿宋_GB2312"/>
          <w:sz w:val="32"/>
          <w:szCs w:val="32"/>
          <w:lang w:val="en-US" w:eastAsia="zh-CN"/>
        </w:rPr>
        <w:t>党的</w:t>
      </w:r>
      <w:r>
        <w:rPr>
          <w:rFonts w:hint="eastAsia" w:ascii="仿宋_GB2312" w:eastAsia="仿宋_GB2312"/>
          <w:sz w:val="32"/>
          <w:szCs w:val="32"/>
        </w:rPr>
        <w:t>十九届五中全会精神，我局主动把人力资源事业放在全市、全区的大局当中来思考和谋划，围绕中心、服务大局，攻坚克难、开拓创新，确保全区就业形势、劳资形势的整体和谐稳定，以走在最前列的标准推动龙华人力资源事业再上新台阶、实现新跨越。</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（二）主要履职情况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1.疫情期间率先开展返岗复工“点对点”专车专列接返服务</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Calibri"/>
          <w:sz w:val="32"/>
          <w:szCs w:val="32"/>
        </w:rPr>
        <w:t>为保障来龙华务工人员、</w:t>
      </w:r>
      <w:r>
        <w:rPr>
          <w:rFonts w:hint="eastAsia" w:ascii="仿宋_GB2312" w:hAnsi="仿宋_GB2312" w:eastAsia="仿宋_GB2312" w:cs="仿宋_GB2312"/>
          <w:sz w:val="32"/>
          <w:szCs w:val="32"/>
        </w:rPr>
        <w:t>湖北务工人员返深，组织“点对点”复工专车专列，分别接回58趟返岗专车共计3千多名、接回湖北籍务工人员3批991人，并</w:t>
      </w:r>
      <w:r>
        <w:rPr>
          <w:rFonts w:hint="eastAsia" w:ascii="仿宋_GB2312" w:hAnsi="宋体" w:eastAsia="仿宋_GB2312" w:cs="Calibri"/>
          <w:sz w:val="32"/>
          <w:szCs w:val="32"/>
        </w:rPr>
        <w:t>为乘坐包车返回的员工送上防疫用品包，灵活解决员工返岗需求。</w:t>
      </w:r>
    </w:p>
    <w:p>
      <w:pPr>
        <w:pStyle w:val="2"/>
        <w:ind w:firstLine="640" w:firstLineChars="200"/>
        <w:rPr>
          <w:rFonts w:ascii="仿宋_GB2312" w:hAnsi="宋体" w:eastAsia="仿宋_GB2312" w:cs="Calibri"/>
          <w:sz w:val="32"/>
          <w:szCs w:val="32"/>
        </w:rPr>
      </w:pPr>
      <w:r>
        <w:rPr>
          <w:rFonts w:hint="eastAsia" w:ascii="仿宋_GB2312" w:hAnsi="宋体" w:eastAsia="仿宋_GB2312" w:cs="Calibri"/>
          <w:sz w:val="32"/>
          <w:szCs w:val="32"/>
        </w:rPr>
        <w:t>2.创新开展线上招聘平台建设及服务</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（1）创新开展“深圳市龙华公益招聘网”线上招聘平台，举行线上主题招聘会14场，初步达成求职意向16807人，并通过微信公众号提供招聘服务发布岗位信息。</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（2）积极组织发放中央就业创业补助专项第一批资金、第二批资金，以及市级各类创业补贴发放相关工作。</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（3）通过“服务+补贴”双轨驱动，城镇登记失业率控制在3%以内（0.61%），就业、失业、重点企业动态监测三个系统整体填报率达86%。</w:t>
      </w:r>
    </w:p>
    <w:p>
      <w:pPr>
        <w:spacing w:line="560" w:lineRule="exact"/>
        <w:ind w:firstLine="640" w:firstLineChars="200"/>
        <w:rPr>
          <w:rFonts w:ascii="楷体_GB2312" w:hAnsi="楷体_GB2312" w:eastAsia="楷体_GB2312" w:cs="楷体_GB2312"/>
          <w:kern w:val="0"/>
          <w:sz w:val="32"/>
          <w:szCs w:val="32"/>
        </w:rPr>
      </w:pPr>
      <w:r>
        <w:rPr>
          <w:rFonts w:hint="eastAsia" w:ascii="仿宋_GB2312" w:hAnsi="仿宋_GB2312" w:eastAsia="仿宋_GB2312" w:cs="仿宋_GB2312"/>
          <w:sz w:val="32"/>
          <w:szCs w:val="32"/>
        </w:rPr>
        <w:t>3.积极助力脱贫攻坚协助对口帮扶就业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（1）委托第三方就业培训服务中心在东兰、凤山当地全面开展职介和就业等服务，打造“招聘供给—求职服务—行前培训—技能提升”完整工作链条，推送深圳近4800个岗位、凤山超1000个岗位。</w:t>
      </w:r>
    </w:p>
    <w:p>
      <w:pPr>
        <w:pStyle w:val="2"/>
        <w:ind w:firstLine="640" w:firstLineChars="200"/>
      </w:pPr>
      <w:r>
        <w:rPr>
          <w:rFonts w:hint="eastAsia" w:ascii="仿宋_GB2312" w:hAnsi="仿宋_GB2312" w:eastAsia="仿宋_GB2312" w:cs="仿宋_GB2312"/>
          <w:sz w:val="32"/>
          <w:szCs w:val="32"/>
        </w:rPr>
        <w:t>（2）举办线上线下企业招聘会共84场，达成就业意向2435人。</w:t>
      </w:r>
    </w:p>
    <w:p>
      <w:pPr>
        <w:spacing w:line="560" w:lineRule="exact"/>
        <w:ind w:firstLine="640" w:firstLineChars="200"/>
      </w:pPr>
      <w:r>
        <w:rPr>
          <w:rFonts w:hint="eastAsia" w:ascii="仿宋_GB2312" w:hAnsi="仿宋_GB2312" w:eastAsia="仿宋_GB2312" w:cs="仿宋_GB2312"/>
          <w:sz w:val="32"/>
          <w:szCs w:val="32"/>
        </w:rPr>
        <w:t>（3）针对性开展就业技能培训，共录制网课20节，线下培训164人。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bidi="ar"/>
        </w:rPr>
        <w:t>以“扶贫先扶志、有志且有智”为核心，全面开展来龙华就业建档立卡人员的就业跟踪服务工作，累计电话回访服务辖区建档立卡人员1417人。</w:t>
      </w:r>
    </w:p>
    <w:p>
      <w:pPr>
        <w:pStyle w:val="12"/>
        <w:spacing w:line="560" w:lineRule="exact"/>
        <w:ind w:firstLine="640"/>
        <w:rPr>
          <w:rFonts w:ascii="仿宋_GB2312" w:cs="仿宋_GB2312"/>
        </w:rPr>
      </w:pPr>
      <w:r>
        <w:rPr>
          <w:rFonts w:hint="eastAsia" w:ascii="仿宋_GB2312" w:cs="仿宋_GB2312"/>
        </w:rPr>
        <w:t>4.党建引领脱贫攻坚，助推贫困村提前摘帽</w:t>
      </w:r>
    </w:p>
    <w:p>
      <w:pPr>
        <w:pStyle w:val="12"/>
        <w:spacing w:line="560" w:lineRule="exact"/>
        <w:ind w:firstLine="640"/>
        <w:rPr>
          <w:rFonts w:ascii="仿宋_GB2312" w:cs="仿宋_GB2312"/>
        </w:rPr>
      </w:pPr>
      <w:r>
        <w:rPr>
          <w:rFonts w:hint="eastAsia" w:ascii="仿宋_GB2312" w:cs="仿宋_GB2312"/>
        </w:rPr>
        <w:t>（1）根据龙华区委、区对口办工作部署，凝聚龙华区人力资源党总支、企业党支部合力，发动行业参与扶贫工作，全力打好脱贫攻坚战。</w:t>
      </w:r>
    </w:p>
    <w:p>
      <w:pPr>
        <w:pStyle w:val="12"/>
        <w:spacing w:line="560" w:lineRule="exact"/>
        <w:ind w:firstLine="640"/>
        <w:rPr>
          <w:rFonts w:ascii="仿宋_GB2312" w:cs="仿宋_GB2312"/>
        </w:rPr>
      </w:pPr>
      <w:r>
        <w:rPr>
          <w:rFonts w:hint="eastAsia" w:ascii="仿宋_GB2312" w:cs="仿宋_GB2312"/>
        </w:rPr>
        <w:t>（2）</w:t>
      </w:r>
      <w:r>
        <w:rPr>
          <w:rFonts w:hint="eastAsia" w:ascii="仿宋_GB2312" w:hAnsi="仿宋_GB2312" w:cs="仿宋_GB2312"/>
        </w:rPr>
        <w:t>汇聚合力“输血”，因地制宜“造血”；</w:t>
      </w:r>
      <w:r>
        <w:rPr>
          <w:rFonts w:hint="eastAsia" w:ascii="仿宋_GB2312" w:cs="仿宋_GB2312"/>
        </w:rPr>
        <w:t>联合第三方单位对贫困地区进行资金以及实物物资的捐赠，并慰问了困难户。</w:t>
      </w:r>
      <w:r>
        <w:rPr>
          <w:rFonts w:hint="eastAsia" w:ascii="仿宋_GB2312" w:hAnsi="仿宋_GB2312" w:cs="仿宋_GB2312"/>
        </w:rPr>
        <w:t>通过三方协商制定村集体经济建设帮扶方案，累计筹集爱心资金69.07万元（包括我局捐赠的物资和慰问金等）并划转到结对帮扶村集体经济公账按计划投入使用。</w:t>
      </w:r>
    </w:p>
    <w:p>
      <w:pPr>
        <w:pStyle w:val="12"/>
        <w:spacing w:line="560" w:lineRule="exact"/>
        <w:ind w:firstLine="640"/>
        <w:rPr>
          <w:rFonts w:ascii="仿宋_GB2312" w:cs="仿宋_GB2312"/>
        </w:rPr>
      </w:pPr>
      <w:r>
        <w:rPr>
          <w:rFonts w:hint="eastAsia" w:ascii="仿宋_GB2312" w:cs="仿宋_GB2312"/>
        </w:rPr>
        <w:t>（3）</w:t>
      </w:r>
      <w:r>
        <w:rPr>
          <w:rFonts w:hint="eastAsia" w:ascii="仿宋_GB2312" w:hAnsi="仿宋_GB2312" w:cs="仿宋_GB2312"/>
        </w:rPr>
        <w:t>创新思维助推“短期收益”，全力兜底建立“长效机制”。</w:t>
      </w:r>
    </w:p>
    <w:p>
      <w:pPr>
        <w:shd w:val="clear" w:color="auto" w:fill="FFFFFF" w:themeFill="background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5.搭好民心桥，构建和谐劳动关系，深化和谐产业园区创建工作，形成龙华特色劳动品牌</w:t>
      </w:r>
    </w:p>
    <w:p>
      <w:pPr>
        <w:shd w:val="clear" w:color="auto" w:fill="FFFFFF" w:themeFill="background1"/>
        <w:spacing w:line="560" w:lineRule="exact"/>
        <w:ind w:firstLine="640" w:firstLineChars="200"/>
        <w:rPr>
          <w:rFonts w:ascii="仿宋_GB2312" w:hAnsi="仿宋_GB2312" w:eastAsia="仿宋_GB2312" w:cs="仿宋_GB2312"/>
          <w:sz w:val="32"/>
          <w:szCs w:val="32"/>
          <w:shd w:val="clear" w:color="auto" w:fill="FFFFFF" w:themeFill="background1"/>
        </w:rPr>
      </w:pPr>
      <w:r>
        <w:rPr>
          <w:rFonts w:hint="eastAsia" w:ascii="仿宋_GB2312" w:hAnsi="仿宋_GB2312" w:eastAsia="仿宋_GB2312" w:cs="仿宋_GB2312"/>
          <w:sz w:val="32"/>
          <w:szCs w:val="32"/>
        </w:rPr>
        <w:t>（1）引进专业法律人员，提升专业性劳动争议调解工作能力，进一步促进劳动关系的和谐稳定，对劳务工宣讲劳动法律法规，提供法律援助和咨询服务，切实发</w:t>
      </w:r>
      <w:r>
        <w:rPr>
          <w:rFonts w:hint="eastAsia" w:ascii="仿宋_GB2312" w:hAnsi="仿宋_GB2312" w:eastAsia="仿宋_GB2312" w:cs="仿宋_GB2312"/>
          <w:sz w:val="32"/>
          <w:szCs w:val="32"/>
          <w:shd w:val="clear" w:color="auto" w:fill="FFFFFF" w:themeFill="background1"/>
        </w:rPr>
        <w:t>挥“第一道防线”的作用。</w:t>
      </w:r>
    </w:p>
    <w:p>
      <w:pPr>
        <w:shd w:val="clear" w:color="auto" w:fill="FFFFFF" w:themeFill="background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（2）建立“劳动关系和谐园区（厂区）”202个，在辖区所有具备创建条件的工业园及千人以上企业全覆盖。</w:t>
      </w:r>
    </w:p>
    <w:p>
      <w:pPr>
        <w:shd w:val="clear" w:color="auto" w:fill="FFFFFF" w:themeFill="background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（3）深入辖区重点企业并选定企业共200家推行“劳动用工风险评估”体验服务。</w:t>
      </w:r>
    </w:p>
    <w:p>
      <w:pPr>
        <w:shd w:val="clear" w:color="auto" w:fill="FFFFFF" w:themeFill="background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（4）开展劳务工关爱服务活动192场次、提供心理热线咨询与心理咨询服务1014人次。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6.积极跟进景乐南北片区人力资源专项行动</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宋体" w:eastAsia="仿宋_GB2312" w:cs="仿宋_GB2312"/>
          <w:sz w:val="32"/>
          <w:szCs w:val="32"/>
        </w:rPr>
        <w:t>按照龙华区景乐南北片区综合整治的相关要求，组建了专班攻坚小组，全力推进机构搬迁工作，</w:t>
      </w:r>
      <w:r>
        <w:rPr>
          <w:rFonts w:hint="eastAsia" w:ascii="仿宋_GB2312" w:hAnsi="仿宋_GB2312" w:eastAsia="仿宋_GB2312" w:cs="仿宋_GB2312"/>
          <w:sz w:val="32"/>
          <w:szCs w:val="32"/>
        </w:rPr>
        <w:t>组织召开协调会三十余次，与片区机构负责人及业主分别约谈近二百次，最终圆满完成共24家机构搬迁分流任务。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7.大力推进公益人力资源服务市场及产业园建设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于2020年9月1日正式开工建设龙华区公益人力资源服务市场及产业园建设相关工作，同时，在市人才集团的指导下，参观学习深圳市其他区人力资源产业园区建设管理经验，并草拟了相关议题，且通过区政府常务会</w:t>
      </w:r>
      <w:r>
        <w:rPr>
          <w:rFonts w:hint="eastAsia" w:ascii="仿宋_GB2312" w:hAnsi="仿宋_GB2312" w:eastAsia="仿宋_GB2312" w:cs="仿宋_GB2312"/>
          <w:sz w:val="32"/>
          <w:szCs w:val="32"/>
          <w:lang w:eastAsia="zh-CN"/>
        </w:rPr>
        <w:t>议</w:t>
      </w:r>
      <w:r>
        <w:rPr>
          <w:rFonts w:hint="eastAsia" w:ascii="仿宋_GB2312" w:hAnsi="仿宋_GB2312" w:eastAsia="仿宋_GB2312" w:cs="仿宋_GB2312"/>
          <w:sz w:val="32"/>
          <w:szCs w:val="32"/>
        </w:rPr>
        <w:t>审定。</w:t>
      </w:r>
    </w:p>
    <w:p>
      <w:pPr>
        <w:spacing w:line="560" w:lineRule="exact"/>
        <w:ind w:firstLine="640" w:firstLineChars="200"/>
        <w:rPr>
          <w:rFonts w:ascii="仿宋_GB2312" w:eastAsia="仿宋_GB2312" w:cs="仿宋_GB2312"/>
          <w:sz w:val="32"/>
          <w:szCs w:val="32"/>
          <w:lang w:bidi="ar"/>
        </w:rPr>
      </w:pPr>
      <w:r>
        <w:rPr>
          <w:rFonts w:hint="eastAsia" w:ascii="仿宋_GB2312" w:eastAsia="仿宋_GB2312" w:cs="仿宋_GB2312"/>
          <w:sz w:val="32"/>
          <w:szCs w:val="32"/>
          <w:lang w:bidi="ar"/>
        </w:rPr>
        <w:t>8.源头治理，督促保障农民工工资支付工作落实到位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联合住房建设、交通运输、水务等有关部门，督促工程建设领域严格落实劳务工实名制和分账制管理、工资保证金制度全覆盖等工作，并对</w:t>
      </w:r>
      <w:r>
        <w:rPr>
          <w:rFonts w:hint="eastAsia" w:ascii="仿宋_GB2312" w:eastAsia="仿宋_GB2312"/>
          <w:sz w:val="32"/>
          <w:szCs w:val="32"/>
        </w:rPr>
        <w:t>32个重点工程项目开展现场实地核查，督促全区在建工程项目严格落实制度规定</w:t>
      </w:r>
      <w:r>
        <w:rPr>
          <w:rFonts w:hint="eastAsia" w:ascii="仿宋_GB2312" w:hAnsi="仿宋_GB2312" w:eastAsia="仿宋_GB2312" w:cs="仿宋_GB2312"/>
          <w:sz w:val="32"/>
          <w:szCs w:val="32"/>
        </w:rPr>
        <w:t>要求，有效减少欠薪案件的发生。</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9.规行矩止，不断提高我区调解工作的规范化、标准化、专业化水平</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（1）制定《“四三一”劳资纠纷多元化解机制的工作方案》，初步建立四级劳动争议调解组织，构建劳资纠纷多元化解工作体系，建立社区（园区）、企业调解组织116个，劳动争议调解员共有545人。</w:t>
      </w:r>
    </w:p>
    <w:p>
      <w:pPr>
        <w:pStyle w:val="2"/>
        <w:ind w:firstLine="640" w:firstLineChars="200"/>
      </w:pPr>
      <w:r>
        <w:rPr>
          <w:rFonts w:hint="eastAsia" w:ascii="仿宋_GB2312" w:hAnsi="仿宋_GB2312" w:eastAsia="仿宋_GB2312" w:cs="仿宋_GB2312"/>
          <w:sz w:val="32"/>
          <w:szCs w:val="32"/>
        </w:rPr>
        <w:t>（2）制定《关于进一步完善劳动争议调解机制的工作方案》，明确了标准化建设、标准化运作、调解工作信息化水平三个方面的工作内容，进一步完善四级调解网络。</w:t>
      </w:r>
    </w:p>
    <w:p>
      <w:pPr>
        <w:spacing w:line="580" w:lineRule="exact"/>
        <w:ind w:firstLine="803" w:firstLineChars="250"/>
        <w:rPr>
          <w:rFonts w:ascii="楷体_GB2312" w:hAnsi="楷体" w:eastAsia="楷体_GB2312"/>
          <w:b/>
          <w:sz w:val="32"/>
          <w:szCs w:val="32"/>
        </w:rPr>
      </w:pPr>
      <w:r>
        <w:rPr>
          <w:rFonts w:hint="eastAsia" w:ascii="楷体_GB2312" w:hAnsi="楷体" w:eastAsia="楷体_GB2312"/>
          <w:b/>
          <w:sz w:val="32"/>
          <w:szCs w:val="32"/>
        </w:rPr>
        <w:t>（三）部门履职绩效情况</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1.预算使用的经济性。</w:t>
      </w:r>
    </w:p>
    <w:p>
      <w:pPr>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2020年，我局“三公”经费预算数33万元，实际支出数3.87万元，“三公”经费控制率为11.73%，主要为2020年发生公务用车运行维护费3.87万元，无因公出国（境）费、公务接待费发生。我局日常公用经费预算数87.29万元，实际支出数77.26万元，日常公用经费控制率为88.51%。</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2.预算使用的效率性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（1）预算执行率</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根据2020年预算指标执行情况表，</w:t>
      </w:r>
      <w:r>
        <w:rPr>
          <w:rFonts w:hint="eastAsia" w:ascii="仿宋_GB2312" w:eastAsia="仿宋_GB2312"/>
          <w:sz w:val="32"/>
          <w:szCs w:val="32"/>
        </w:rPr>
        <w:t>我局</w:t>
      </w:r>
      <w:r>
        <w:rPr>
          <w:rFonts w:hint="eastAsia" w:ascii="仿宋_GB2312" w:hAnsi="Calibri" w:eastAsia="仿宋_GB2312"/>
          <w:sz w:val="32"/>
          <w:szCs w:val="32"/>
        </w:rPr>
        <w:t>年度项目总指标为54,857.50万元，</w:t>
      </w:r>
      <w:r>
        <w:rPr>
          <w:rFonts w:hint="eastAsia" w:ascii="仿宋_GB2312" w:hAnsi="Calibri" w:eastAsia="仿宋_GB2312"/>
          <w:sz w:val="32"/>
          <w:szCs w:val="32"/>
          <w:highlight w:val="none"/>
        </w:rPr>
        <w:t>全年实际</w:t>
      </w:r>
      <w:r>
        <w:rPr>
          <w:rFonts w:ascii="仿宋_GB2312" w:hAnsi="Calibri" w:eastAsia="仿宋_GB2312"/>
          <w:sz w:val="32"/>
          <w:szCs w:val="32"/>
          <w:highlight w:val="none"/>
        </w:rPr>
        <w:t>支出</w:t>
      </w:r>
      <w:r>
        <w:rPr>
          <w:rFonts w:hint="eastAsia" w:ascii="仿宋_GB2312" w:hAnsi="Calibri" w:eastAsia="仿宋_GB2312"/>
          <w:sz w:val="32"/>
          <w:szCs w:val="32"/>
          <w:highlight w:val="none"/>
        </w:rPr>
        <w:t>54,524.11万元，</w:t>
      </w:r>
      <w:r>
        <w:rPr>
          <w:rFonts w:hint="eastAsia" w:ascii="仿宋_GB2312" w:hAnsi="Calibri" w:eastAsia="仿宋_GB2312"/>
          <w:sz w:val="32"/>
          <w:szCs w:val="32"/>
          <w:highlight w:val="none"/>
          <w:lang w:val="en-US" w:eastAsia="zh-CN"/>
        </w:rPr>
        <w:t>该支出不包含</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w:t>
      </w:r>
      <w:r>
        <w:rPr>
          <w:rFonts w:hint="eastAsia" w:ascii="仿宋_GB2312" w:hAnsi="仿宋_GB2312" w:eastAsia="仿宋_GB2312" w:cs="仿宋_GB2312"/>
          <w:color w:val="000000" w:themeColor="text1"/>
          <w:sz w:val="32"/>
          <w:szCs w:val="32"/>
          <w:highlight w:val="none"/>
          <w14:textFill>
            <w14:solidFill>
              <w14:schemeClr w14:val="tx1"/>
            </w14:solidFill>
          </w14:textFill>
        </w:rPr>
        <w:t>人力资源</w:t>
      </w:r>
      <w:bookmarkStart w:id="1" w:name="_GoBack"/>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和社会保障局、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w:t>
      </w:r>
      <w:r>
        <w:rPr>
          <w:rFonts w:hint="eastAsia" w:ascii="仿宋_GB2312" w:hAnsi="仿宋_GB2312" w:eastAsia="仿宋_GB2312" w:cs="仿宋_GB2312"/>
          <w:color w:val="000000" w:themeColor="text1"/>
          <w:sz w:val="32"/>
          <w:szCs w:val="32"/>
          <w:highlight w:val="none"/>
          <w14:textFill>
            <w14:solidFill>
              <w14:schemeClr w14:val="tx1"/>
            </w14:solidFill>
          </w14:textFill>
        </w:rPr>
        <w:t>市欠薪保障基金委员会统筹拨付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Calibri" w:eastAsia="仿宋_GB2312"/>
          <w:sz w:val="32"/>
          <w:szCs w:val="32"/>
          <w:highlight w:val="none"/>
          <w:lang w:val="en-US"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职业技能</w:t>
      </w:r>
      <w:r>
        <w:rPr>
          <w:rFonts w:hint="eastAsia" w:ascii="仿宋_GB2312" w:hAnsi="仿宋_GB2312" w:eastAsia="仿宋_GB2312" w:cs="仿宋_GB2312"/>
          <w:color w:val="000000" w:themeColor="text1"/>
          <w:sz w:val="32"/>
          <w:szCs w:val="32"/>
          <w14:textFill>
            <w14:solidFill>
              <w14:schemeClr w14:val="tx1"/>
            </w14:solidFill>
          </w14:textFill>
        </w:rPr>
        <w:t>提升行动专项</w:t>
      </w:r>
      <w:r>
        <w:rPr>
          <w:rFonts w:hint="eastAsia" w:ascii="仿宋_GB2312" w:hAnsi="Calibri" w:eastAsia="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欠薪应急专项资金项目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Calibri" w:eastAsia="仿宋_GB2312"/>
          <w:sz w:val="32"/>
          <w:szCs w:val="32"/>
        </w:rPr>
        <w:t>2020年全年</w:t>
      </w:r>
      <w:r>
        <w:rPr>
          <w:rFonts w:ascii="仿宋_GB2312" w:hAnsi="Calibri" w:eastAsia="仿宋_GB2312"/>
          <w:sz w:val="32"/>
          <w:szCs w:val="32"/>
        </w:rPr>
        <w:t>预算执行率</w:t>
      </w:r>
      <w:r>
        <w:rPr>
          <w:rFonts w:hint="eastAsia" w:ascii="仿宋_GB2312" w:hAnsi="Calibri" w:eastAsia="仿宋_GB2312"/>
          <w:sz w:val="32"/>
          <w:szCs w:val="32"/>
        </w:rPr>
        <w:t>为99.39%。</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（2）重点工作完成情况及项目完成及时性</w:t>
      </w:r>
    </w:p>
    <w:p>
      <w:pPr>
        <w:spacing w:line="580" w:lineRule="exact"/>
        <w:ind w:firstLine="640" w:firstLineChars="200"/>
        <w:rPr>
          <w:rFonts w:ascii="仿宋_GB2312" w:eastAsia="仿宋_GB2312"/>
          <w:sz w:val="32"/>
          <w:szCs w:val="32"/>
          <w:highlight w:val="yellow"/>
        </w:rPr>
      </w:pPr>
      <w:r>
        <w:rPr>
          <w:rFonts w:hint="eastAsia" w:ascii="仿宋_GB2312" w:eastAsia="仿宋_GB2312"/>
          <w:sz w:val="32"/>
          <w:szCs w:val="32"/>
        </w:rPr>
        <w:t>2020年，我局部门履职、重点工作及</w:t>
      </w:r>
      <w:r>
        <w:rPr>
          <w:rFonts w:hint="eastAsia" w:ascii="仿宋_GB2312" w:eastAsia="仿宋_GB2312" w:cs="仿宋_GB2312"/>
          <w:sz w:val="32"/>
          <w:szCs w:val="32"/>
        </w:rPr>
        <w:t>确定的各项目标任务</w:t>
      </w:r>
      <w:r>
        <w:rPr>
          <w:rFonts w:hint="eastAsia" w:ascii="仿宋_GB2312" w:eastAsia="仿宋_GB2312"/>
          <w:sz w:val="32"/>
          <w:szCs w:val="32"/>
        </w:rPr>
        <w:t>均已按期保质保量完成，顺利达成绩效目标。</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3.预算使用的效果性</w:t>
      </w:r>
    </w:p>
    <w:p>
      <w:pPr>
        <w:spacing w:line="580" w:lineRule="exact"/>
        <w:ind w:firstLine="640" w:firstLineChars="200"/>
        <w:rPr>
          <w:rFonts w:ascii="仿宋_GB2312" w:eastAsia="仿宋_GB2312" w:cs="仿宋_GB2312"/>
          <w:sz w:val="32"/>
          <w:szCs w:val="32"/>
        </w:rPr>
      </w:pPr>
      <w:r>
        <w:rPr>
          <w:rFonts w:hint="eastAsia" w:ascii="仿宋_GB2312" w:eastAsia="仿宋_GB2312"/>
          <w:sz w:val="32"/>
          <w:szCs w:val="32"/>
        </w:rPr>
        <w:t>2020年，我局部门履职和主要工作任务均已完成，</w:t>
      </w:r>
      <w:r>
        <w:rPr>
          <w:rFonts w:hint="eastAsia" w:ascii="仿宋_GB2312" w:eastAsia="仿宋_GB2312" w:cs="仿宋_GB2312"/>
          <w:sz w:val="32"/>
          <w:szCs w:val="32"/>
        </w:rPr>
        <w:t>按照区委区政府统一部署，编制2020年中心预算，积极开展各项工作，保持我局全年预算支出进度良好。</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4.预算使用的公平性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（1）群众信访办理情况。</w:t>
      </w:r>
      <w:r>
        <w:rPr>
          <w:rFonts w:hint="eastAsia" w:ascii="仿宋_GB2312" w:hAnsi="Calibri" w:eastAsia="仿宋_GB2312"/>
          <w:sz w:val="32"/>
          <w:szCs w:val="32"/>
        </w:rPr>
        <w:t>我局</w:t>
      </w:r>
      <w:r>
        <w:rPr>
          <w:rFonts w:hint="eastAsia" w:ascii="仿宋_GB2312" w:eastAsia="仿宋_GB2312"/>
          <w:sz w:val="32"/>
          <w:szCs w:val="32"/>
        </w:rPr>
        <w:t>2020年</w:t>
      </w:r>
      <w:r>
        <w:rPr>
          <w:rFonts w:hint="eastAsia" w:ascii="仿宋_GB2312" w:hAnsi="Calibri" w:eastAsia="仿宋_GB2312"/>
          <w:sz w:val="32"/>
          <w:szCs w:val="32"/>
        </w:rPr>
        <w:t>在开展全年工作中，</w:t>
      </w:r>
      <w:r>
        <w:rPr>
          <w:rFonts w:hint="eastAsia" w:ascii="仿宋_GB2312" w:eastAsia="仿宋_GB2312"/>
          <w:sz w:val="32"/>
          <w:szCs w:val="32"/>
        </w:rPr>
        <w:t>收到的群众信访均一一办理。</w:t>
      </w:r>
    </w:p>
    <w:p>
      <w:pPr>
        <w:spacing w:line="579" w:lineRule="exact"/>
        <w:ind w:firstLine="640" w:firstLineChars="200"/>
        <w:rPr>
          <w:rFonts w:ascii="黑体" w:hAnsi="黑体" w:eastAsia="黑体"/>
          <w:sz w:val="32"/>
          <w:szCs w:val="32"/>
        </w:rPr>
      </w:pPr>
      <w:r>
        <w:rPr>
          <w:rFonts w:hint="eastAsia" w:ascii="仿宋_GB2312" w:eastAsia="仿宋_GB2312"/>
          <w:sz w:val="32"/>
          <w:szCs w:val="32"/>
        </w:rPr>
        <w:t>（2）公众满意度。我局2020年履行部门职能，完成主要工作任务，</w:t>
      </w:r>
      <w:r>
        <w:rPr>
          <w:rFonts w:hint="eastAsia" w:ascii="仿宋_GB2312" w:eastAsia="仿宋_GB2312"/>
          <w:sz w:val="32"/>
          <w:szCs w:val="32"/>
          <w:highlight w:val="none"/>
        </w:rPr>
        <w:t>相关满意度调查显示</w:t>
      </w:r>
      <w:r>
        <w:rPr>
          <w:rFonts w:hint="eastAsia" w:ascii="仿宋_GB2312" w:hAnsi="Calibri" w:eastAsia="仿宋_GB2312"/>
          <w:sz w:val="32"/>
          <w:szCs w:val="32"/>
        </w:rPr>
        <w:t>受益群众对我局工作满意率为99.50%。</w:t>
      </w:r>
    </w:p>
    <w:p>
      <w:pPr>
        <w:numPr>
          <w:ilvl w:val="0"/>
          <w:numId w:val="1"/>
        </w:numPr>
        <w:spacing w:line="580" w:lineRule="exact"/>
        <w:rPr>
          <w:rFonts w:ascii="黑体" w:hAnsi="黑体" w:eastAsia="黑体"/>
          <w:sz w:val="32"/>
          <w:szCs w:val="32"/>
        </w:rPr>
      </w:pPr>
      <w:r>
        <w:rPr>
          <w:rFonts w:hint="eastAsia" w:ascii="黑体" w:hAnsi="黑体" w:eastAsia="黑体"/>
          <w:sz w:val="32"/>
          <w:szCs w:val="32"/>
        </w:rPr>
        <w:t>总体评价和整改措施</w:t>
      </w:r>
    </w:p>
    <w:p>
      <w:pPr>
        <w:spacing w:line="580" w:lineRule="exact"/>
        <w:ind w:left="787"/>
        <w:rPr>
          <w:rFonts w:ascii="仿宋_GB2312" w:eastAsia="仿宋_GB2312"/>
          <w:b/>
          <w:bCs/>
          <w:sz w:val="32"/>
          <w:szCs w:val="32"/>
        </w:rPr>
      </w:pPr>
      <w:r>
        <w:rPr>
          <w:rFonts w:hint="eastAsia" w:ascii="仿宋_GB2312" w:eastAsia="仿宋_GB2312"/>
          <w:b/>
          <w:bCs/>
          <w:sz w:val="32"/>
          <w:szCs w:val="32"/>
        </w:rPr>
        <w:t>（一）预算绩效管理工作主要经验、做法</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sz w:val="32"/>
          <w:szCs w:val="32"/>
        </w:rPr>
        <w:t>我局坚持以绩效为导向的财政资金管理机制，贯彻“预算编制有目标、预算执行有监控、项目完成有评价、评价结果有反馈、反馈的结果要运用”的预算绩效管理模式，全面实行规范透明、标准科学、约束有力的预算绩效管理，保证了资金的合理使用和正常运行，提高了财政资金使用效益。</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1.我局根据单位实际情况，按照预算和绩效管理一体化的要求制定了本单位全面实施预算绩效管理的制度，明确全过程预算绩效管理机制，有利于指导我局预算绩效管理工作得顺利开展。</w:t>
      </w:r>
    </w:p>
    <w:p>
      <w:pPr>
        <w:snapToGrid w:val="0"/>
        <w:spacing w:line="58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2.我局2020年度根据区财政局的规定，对项目绩效目标开展监控工作，如期向区财政局提交预算项目支出绩效目标监控表和绩效监控自评报告。</w:t>
      </w:r>
    </w:p>
    <w:p>
      <w:pPr>
        <w:spacing w:line="580" w:lineRule="exact"/>
        <w:ind w:left="840"/>
        <w:rPr>
          <w:rFonts w:ascii="仿宋_GB2312" w:eastAsia="仿宋_GB2312"/>
          <w:b/>
          <w:bCs/>
          <w:sz w:val="32"/>
          <w:szCs w:val="32"/>
        </w:rPr>
      </w:pPr>
      <w:r>
        <w:rPr>
          <w:rFonts w:hint="eastAsia" w:ascii="仿宋_GB2312" w:eastAsia="仿宋_GB2312"/>
          <w:b/>
          <w:bCs/>
          <w:sz w:val="32"/>
          <w:szCs w:val="32"/>
        </w:rPr>
        <w:t>（二）部门整体支出绩效存在问题及改进措施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1.预算编制可进一步加强。业务部门与财务部门沟通协调，结合我局专项工作实际，进一步强化项目预算调研工作，确保预算编制更加准确详细，更具有可操作性。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2.预算</w:t>
      </w:r>
      <w:r>
        <w:rPr>
          <w:rFonts w:hint="eastAsia" w:ascii="仿宋_GB2312" w:eastAsia="仿宋_GB2312"/>
          <w:sz w:val="32"/>
          <w:szCs w:val="32"/>
          <w:lang w:val="en-US" w:eastAsia="zh-CN"/>
        </w:rPr>
        <w:t>目标设置</w:t>
      </w:r>
      <w:r>
        <w:rPr>
          <w:rFonts w:hint="eastAsia" w:ascii="仿宋_GB2312" w:eastAsia="仿宋_GB2312"/>
          <w:sz w:val="32"/>
          <w:szCs w:val="32"/>
        </w:rPr>
        <w:t>有待加强。</w:t>
      </w:r>
      <w:r>
        <w:rPr>
          <w:rFonts w:ascii="仿宋_GB2312" w:hAnsi="仿宋" w:eastAsia="仿宋_GB2312"/>
          <w:sz w:val="32"/>
          <w:szCs w:val="32"/>
        </w:rPr>
        <w:t>20</w:t>
      </w:r>
      <w:r>
        <w:rPr>
          <w:rFonts w:hint="default" w:ascii="仿宋_GB2312" w:hAnsi="仿宋" w:eastAsia="仿宋_GB2312"/>
          <w:sz w:val="32"/>
          <w:szCs w:val="32"/>
        </w:rPr>
        <w:t>20</w:t>
      </w:r>
      <w:r>
        <w:rPr>
          <w:rFonts w:ascii="仿宋_GB2312" w:hAnsi="仿宋" w:eastAsia="仿宋_GB2312"/>
          <w:sz w:val="32"/>
          <w:szCs w:val="32"/>
        </w:rPr>
        <w:t>年绩效目标申报表中，存在少部分项目绩效目标设定值</w:t>
      </w:r>
      <w:r>
        <w:rPr>
          <w:rFonts w:hint="eastAsia" w:ascii="仿宋_GB2312" w:hAnsi="仿宋" w:eastAsia="仿宋_GB2312"/>
          <w:sz w:val="32"/>
          <w:szCs w:val="32"/>
          <w:lang w:val="en-US" w:eastAsia="zh-CN"/>
        </w:rPr>
        <w:t>不够细化</w:t>
      </w:r>
      <w:r>
        <w:rPr>
          <w:rFonts w:ascii="仿宋_GB2312" w:hAnsi="仿宋" w:eastAsia="仿宋_GB2312"/>
          <w:sz w:val="32"/>
          <w:szCs w:val="32"/>
        </w:rPr>
        <w:t>的情况，而未进行个性化设置具体目标，绩效目标设置有待完善，质量有待提高。</w:t>
      </w:r>
    </w:p>
    <w:p>
      <w:pPr>
        <w:numPr>
          <w:ilvl w:val="0"/>
          <w:numId w:val="2"/>
        </w:numPr>
        <w:spacing w:line="580" w:lineRule="exact"/>
        <w:ind w:firstLine="803" w:firstLineChars="250"/>
        <w:rPr>
          <w:rFonts w:ascii="仿宋_GB2312" w:eastAsia="仿宋_GB2312"/>
          <w:b/>
          <w:bCs/>
          <w:sz w:val="32"/>
          <w:szCs w:val="32"/>
        </w:rPr>
      </w:pPr>
      <w:r>
        <w:rPr>
          <w:rFonts w:hint="eastAsia" w:ascii="仿宋_GB2312" w:eastAsia="仿宋_GB2312"/>
          <w:b/>
          <w:bCs/>
          <w:sz w:val="32"/>
          <w:szCs w:val="32"/>
        </w:rPr>
        <w:t>后续工作计划、相关建议等。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1.完善项目绩效管理制度建设。使绩效管理工作更具指导性、实用性，做到绩效管理工作有章可循、有法可依。</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提高项目预算编制的准确性。按照《预算法》及有关管理办法的要求，结合职能职责，加强调研，确定下年度工作重点，做好分析、测算，做好项目预算绩效目标编制，提高预算编制质量，确保预算的科学性、合理性、准确性。</w:t>
      </w:r>
    </w:p>
    <w:p>
      <w:pPr>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仿宋_GB2312" w:eastAsia="仿宋_GB2312"/>
          <w:sz w:val="32"/>
          <w:szCs w:val="32"/>
        </w:rPr>
        <w:t>3.推进项目预算执行的时效性。严格按照批准的预算，有序推进项目开展，确保项目早落地、早见效。认真开展中期评估，根据情况适时对绩效不佳的项目进行调整，强化预算执行，完善专项资金分配和拨付管理，避免资金闲置，切实提高资金使用效率。</w:t>
      </w:r>
    </w:p>
    <w:p>
      <w:pPr>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四、部门整体支出绩效评价指标评分情况</w:t>
      </w:r>
    </w:p>
    <w:p>
      <w:pPr>
        <w:spacing w:line="580" w:lineRule="exact"/>
        <w:ind w:firstLine="800" w:firstLineChars="250"/>
        <w:rPr>
          <w:rFonts w:ascii="仿宋_GB2312" w:hAnsi="仿宋_GB2312" w:eastAsia="仿宋_GB2312"/>
          <w:sz w:val="32"/>
          <w:lang w:val="zh-CN"/>
        </w:rPr>
      </w:pPr>
      <w:r>
        <w:rPr>
          <w:rFonts w:hint="eastAsia" w:ascii="仿宋_GB2312" w:hAnsi="仿宋_GB2312" w:eastAsia="仿宋_GB2312" w:cs="仿宋_GB2312"/>
          <w:color w:val="000000" w:themeColor="text1"/>
          <w:sz w:val="32"/>
          <w:szCs w:val="32"/>
          <w14:textFill>
            <w14:solidFill>
              <w14:schemeClr w14:val="tx1"/>
            </w14:solidFill>
          </w14:textFill>
        </w:rPr>
        <w:t>根据《2020年度部门整体支出绩效自评表》（见下表）进行自评，本次绩效自评评分结果为96.41分。</w:t>
      </w:r>
    </w:p>
    <w:p>
      <w:pPr>
        <w:snapToGrid w:val="0"/>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Style w:val="4"/>
        <w:sectPr>
          <w:footerReference r:id="rId4" w:type="default"/>
          <w:pgSz w:w="11906" w:h="16838"/>
          <w:pgMar w:top="1440" w:right="1134" w:bottom="1440" w:left="1134" w:header="851" w:footer="992" w:gutter="0"/>
          <w:pgNumType w:start="1"/>
          <w:cols w:space="425" w:num="1"/>
          <w:docGrid w:type="lines" w:linePitch="312" w:charSpace="0"/>
        </w:sectPr>
      </w:pPr>
    </w:p>
    <w:p>
      <w:pPr>
        <w:jc w:val="center"/>
        <w:rPr>
          <w:rFonts w:ascii="仿宋_GB2312" w:eastAsia="仿宋_GB2312"/>
          <w:b/>
          <w:bCs/>
          <w:sz w:val="32"/>
          <w:szCs w:val="32"/>
        </w:rPr>
      </w:pPr>
      <w:r>
        <w:rPr>
          <w:rFonts w:hint="eastAsia" w:ascii="仿宋_GB2312" w:eastAsia="仿宋_GB2312"/>
          <w:b/>
          <w:bCs/>
          <w:sz w:val="32"/>
          <w:szCs w:val="32"/>
        </w:rPr>
        <w:t>部门整体支出绩效自评表</w:t>
      </w:r>
    </w:p>
    <w:p>
      <w:pPr>
        <w:pStyle w:val="4"/>
        <w:spacing w:line="240" w:lineRule="auto"/>
      </w:pPr>
      <w:r>
        <w:rPr>
          <w:rFonts w:hint="eastAsia" w:ascii="仿宋_GB2312" w:eastAsia="仿宋_GB2312"/>
          <w:b/>
          <w:sz w:val="30"/>
          <w:szCs w:val="30"/>
        </w:rPr>
        <w:t>（2020年）</w:t>
      </w:r>
    </w:p>
    <w:tbl>
      <w:tblPr>
        <w:tblStyle w:val="13"/>
        <w:tblW w:w="14288" w:type="dxa"/>
        <w:tblInd w:w="-106" w:type="dxa"/>
        <w:tblLayout w:type="fixed"/>
        <w:tblCellMar>
          <w:top w:w="0" w:type="dxa"/>
          <w:left w:w="108" w:type="dxa"/>
          <w:bottom w:w="0" w:type="dxa"/>
          <w:right w:w="108" w:type="dxa"/>
        </w:tblCellMar>
      </w:tblPr>
      <w:tblGrid>
        <w:gridCol w:w="923"/>
        <w:gridCol w:w="915"/>
        <w:gridCol w:w="930"/>
        <w:gridCol w:w="915"/>
        <w:gridCol w:w="1305"/>
        <w:gridCol w:w="825"/>
        <w:gridCol w:w="7710"/>
        <w:gridCol w:w="765"/>
      </w:tblGrid>
      <w:tr>
        <w:tblPrEx>
          <w:tblCellMar>
            <w:top w:w="0" w:type="dxa"/>
            <w:left w:w="108" w:type="dxa"/>
            <w:bottom w:w="0" w:type="dxa"/>
            <w:right w:w="108" w:type="dxa"/>
          </w:tblCellMar>
        </w:tblPrEx>
        <w:trPr>
          <w:trHeight w:val="180" w:hRule="atLeast"/>
          <w:tblHeader/>
        </w:trPr>
        <w:tc>
          <w:tcPr>
            <w:tcW w:w="5813"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评价指标</w:t>
            </w:r>
          </w:p>
        </w:tc>
        <w:tc>
          <w:tcPr>
            <w:tcW w:w="7710" w:type="dxa"/>
            <w:vMerge w:val="restart"/>
            <w:tcBorders>
              <w:top w:val="single" w:color="auto" w:sz="4" w:space="0"/>
              <w:left w:val="nil"/>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参考评分标准</w:t>
            </w:r>
          </w:p>
        </w:tc>
        <w:tc>
          <w:tcPr>
            <w:tcW w:w="765" w:type="dxa"/>
            <w:vMerge w:val="restart"/>
            <w:tcBorders>
              <w:top w:val="single" w:color="auto" w:sz="4" w:space="0"/>
              <w:left w:val="nil"/>
              <w:right w:val="single" w:color="auto" w:sz="4" w:space="0"/>
            </w:tcBorders>
            <w:vAlign w:val="center"/>
          </w:tcPr>
          <w:p>
            <w:pPr>
              <w:widowControl/>
              <w:jc w:val="center"/>
              <w:rPr>
                <w:rFonts w:ascii="黑体" w:hAnsi="黑体" w:eastAsia="黑体" w:cs="黑体"/>
                <w:kern w:val="0"/>
              </w:rPr>
            </w:pPr>
            <w:r>
              <w:rPr>
                <w:rFonts w:hint="eastAsia" w:ascii="黑体" w:hAnsi="黑体" w:eastAsia="黑体" w:cs="黑体"/>
                <w:kern w:val="0"/>
              </w:rPr>
              <w:t>自评得分</w:t>
            </w:r>
          </w:p>
        </w:tc>
      </w:tr>
      <w:tr>
        <w:tblPrEx>
          <w:tblCellMar>
            <w:top w:w="0" w:type="dxa"/>
            <w:left w:w="108" w:type="dxa"/>
            <w:bottom w:w="0" w:type="dxa"/>
            <w:right w:w="108" w:type="dxa"/>
          </w:tblCellMar>
        </w:tblPrEx>
        <w:trPr>
          <w:trHeight w:val="463" w:hRule="atLeast"/>
          <w:tblHeader/>
        </w:trPr>
        <w:tc>
          <w:tcPr>
            <w:tcW w:w="1838" w:type="dxa"/>
            <w:gridSpan w:val="2"/>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一级指标</w:t>
            </w:r>
          </w:p>
        </w:tc>
        <w:tc>
          <w:tcPr>
            <w:tcW w:w="1845" w:type="dxa"/>
            <w:gridSpan w:val="2"/>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二级指标</w:t>
            </w:r>
          </w:p>
        </w:tc>
        <w:tc>
          <w:tcPr>
            <w:tcW w:w="2130" w:type="dxa"/>
            <w:gridSpan w:val="2"/>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三级指标</w:t>
            </w:r>
          </w:p>
        </w:tc>
        <w:tc>
          <w:tcPr>
            <w:tcW w:w="7710" w:type="dxa"/>
            <w:vMerge w:val="continue"/>
            <w:tcBorders>
              <w:left w:val="nil"/>
              <w:right w:val="single" w:color="auto" w:sz="4" w:space="0"/>
            </w:tcBorders>
            <w:vAlign w:val="center"/>
          </w:tcPr>
          <w:p>
            <w:pPr>
              <w:jc w:val="center"/>
              <w:rPr>
                <w:rFonts w:ascii="黑体" w:hAnsi="黑体" w:eastAsia="黑体"/>
                <w:kern w:val="0"/>
                <w:sz w:val="15"/>
                <w:szCs w:val="15"/>
              </w:rPr>
            </w:pPr>
          </w:p>
        </w:tc>
        <w:tc>
          <w:tcPr>
            <w:tcW w:w="765" w:type="dxa"/>
            <w:vMerge w:val="continue"/>
            <w:tcBorders>
              <w:left w:val="nil"/>
              <w:right w:val="single" w:color="auto" w:sz="4" w:space="0"/>
            </w:tcBorders>
            <w:vAlign w:val="center"/>
          </w:tcPr>
          <w:p>
            <w:pPr>
              <w:jc w:val="center"/>
              <w:rPr>
                <w:rFonts w:ascii="黑体" w:hAnsi="黑体" w:eastAsia="黑体"/>
                <w:kern w:val="0"/>
                <w:sz w:val="15"/>
                <w:szCs w:val="15"/>
              </w:rPr>
            </w:pPr>
          </w:p>
        </w:tc>
      </w:tr>
      <w:tr>
        <w:tblPrEx>
          <w:tblCellMar>
            <w:top w:w="0" w:type="dxa"/>
            <w:left w:w="108" w:type="dxa"/>
            <w:bottom w:w="0" w:type="dxa"/>
            <w:right w:w="108" w:type="dxa"/>
          </w:tblCellMar>
        </w:tblPrEx>
        <w:trPr>
          <w:trHeight w:val="180" w:hRule="atLeast"/>
          <w:tblHeader/>
        </w:trPr>
        <w:tc>
          <w:tcPr>
            <w:tcW w:w="923"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名称</w:t>
            </w:r>
          </w:p>
        </w:tc>
        <w:tc>
          <w:tcPr>
            <w:tcW w:w="915" w:type="dxa"/>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分值</w:t>
            </w:r>
          </w:p>
        </w:tc>
        <w:tc>
          <w:tcPr>
            <w:tcW w:w="930" w:type="dxa"/>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名称</w:t>
            </w:r>
          </w:p>
        </w:tc>
        <w:tc>
          <w:tcPr>
            <w:tcW w:w="915" w:type="dxa"/>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分值</w:t>
            </w:r>
          </w:p>
        </w:tc>
        <w:tc>
          <w:tcPr>
            <w:tcW w:w="1305" w:type="dxa"/>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名称</w:t>
            </w:r>
          </w:p>
        </w:tc>
        <w:tc>
          <w:tcPr>
            <w:tcW w:w="825" w:type="dxa"/>
            <w:tcBorders>
              <w:top w:val="nil"/>
              <w:left w:val="nil"/>
              <w:bottom w:val="single" w:color="auto" w:sz="4" w:space="0"/>
              <w:right w:val="single" w:color="auto" w:sz="4" w:space="0"/>
            </w:tcBorders>
            <w:vAlign w:val="center"/>
          </w:tcPr>
          <w:p>
            <w:pPr>
              <w:widowControl/>
              <w:jc w:val="center"/>
              <w:rPr>
                <w:rFonts w:ascii="黑体" w:hAnsi="黑体" w:eastAsia="黑体"/>
                <w:kern w:val="0"/>
              </w:rPr>
            </w:pPr>
            <w:r>
              <w:rPr>
                <w:rFonts w:hint="eastAsia" w:ascii="黑体" w:hAnsi="黑体" w:eastAsia="黑体" w:cs="黑体"/>
                <w:kern w:val="0"/>
              </w:rPr>
              <w:t>分值</w:t>
            </w:r>
          </w:p>
        </w:tc>
        <w:tc>
          <w:tcPr>
            <w:tcW w:w="7710" w:type="dxa"/>
            <w:vMerge w:val="continue"/>
            <w:tcBorders>
              <w:left w:val="nil"/>
              <w:bottom w:val="single" w:color="auto" w:sz="4" w:space="0"/>
              <w:right w:val="single" w:color="auto" w:sz="4" w:space="0"/>
            </w:tcBorders>
            <w:vAlign w:val="center"/>
          </w:tcPr>
          <w:p>
            <w:pPr>
              <w:widowControl/>
              <w:jc w:val="center"/>
              <w:rPr>
                <w:rFonts w:ascii="黑体" w:hAnsi="黑体" w:eastAsia="黑体"/>
                <w:kern w:val="0"/>
                <w:sz w:val="15"/>
                <w:szCs w:val="15"/>
              </w:rPr>
            </w:pPr>
          </w:p>
        </w:tc>
        <w:tc>
          <w:tcPr>
            <w:tcW w:w="765" w:type="dxa"/>
            <w:vMerge w:val="continue"/>
            <w:tcBorders>
              <w:left w:val="nil"/>
              <w:bottom w:val="single" w:color="auto" w:sz="4" w:space="0"/>
              <w:right w:val="single" w:color="auto" w:sz="4" w:space="0"/>
            </w:tcBorders>
            <w:vAlign w:val="center"/>
          </w:tcPr>
          <w:p>
            <w:pPr>
              <w:widowControl/>
              <w:jc w:val="center"/>
              <w:rPr>
                <w:rFonts w:ascii="黑体" w:hAnsi="黑体" w:eastAsia="黑体"/>
                <w:kern w:val="0"/>
                <w:sz w:val="15"/>
                <w:szCs w:val="15"/>
              </w:rPr>
            </w:pPr>
          </w:p>
        </w:tc>
      </w:tr>
      <w:tr>
        <w:tblPrEx>
          <w:tblCellMar>
            <w:top w:w="0" w:type="dxa"/>
            <w:left w:w="108" w:type="dxa"/>
            <w:bottom w:w="0" w:type="dxa"/>
            <w:right w:w="108" w:type="dxa"/>
          </w:tblCellMar>
        </w:tblPrEx>
        <w:trPr>
          <w:trHeight w:val="2595" w:hRule="atLeast"/>
        </w:trPr>
        <w:tc>
          <w:tcPr>
            <w:tcW w:w="92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部门决策</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ascii="宋体" w:hAnsi="宋体" w:cs="宋体"/>
                <w:kern w:val="0"/>
              </w:rPr>
              <w:t>2</w:t>
            </w:r>
            <w:r>
              <w:rPr>
                <w:rFonts w:hint="eastAsia" w:ascii="宋体" w:hAnsi="宋体" w:cs="宋体"/>
                <w:kern w:val="0"/>
              </w:rPr>
              <w:t>5</w:t>
            </w: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预算编制</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10</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预算编制合理性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5</w:t>
            </w:r>
          </w:p>
        </w:tc>
        <w:tc>
          <w:tcPr>
            <w:tcW w:w="7710" w:type="dxa"/>
            <w:tcBorders>
              <w:top w:val="nil"/>
              <w:left w:val="nil"/>
              <w:bottom w:val="single" w:color="auto" w:sz="4" w:space="0"/>
              <w:right w:val="single" w:color="auto" w:sz="4" w:space="0"/>
            </w:tcBorders>
          </w:tcPr>
          <w:p>
            <w:pPr>
              <w:widowControl/>
              <w:spacing w:line="240" w:lineRule="exact"/>
              <w:jc w:val="left"/>
              <w:rPr>
                <w:rFonts w:ascii="宋体" w:hAnsi="宋体" w:cs="宋体"/>
                <w:kern w:val="0"/>
              </w:rPr>
            </w:pPr>
          </w:p>
          <w:p>
            <w:pPr>
              <w:widowControl/>
              <w:spacing w:line="240" w:lineRule="exact"/>
              <w:jc w:val="left"/>
              <w:rPr>
                <w:rFonts w:ascii="宋体"/>
                <w:kern w:val="0"/>
              </w:rPr>
            </w:pPr>
            <w:r>
              <w:rPr>
                <w:rFonts w:hint="eastAsia" w:ascii="宋体" w:hAnsi="宋体" w:cs="宋体"/>
                <w:kern w:val="0"/>
              </w:rPr>
              <w:t>1.部门预算编制、分配符合本部门职责、符合区委区政府方针政策和工作要求（1分）；</w:t>
            </w:r>
            <w:r>
              <w:rPr>
                <w:rFonts w:hint="eastAsia" w:ascii="宋体" w:hAnsi="宋体" w:cs="宋体"/>
                <w:kern w:val="0"/>
              </w:rPr>
              <w:br w:type="textWrapping"/>
            </w:r>
            <w:r>
              <w:rPr>
                <w:rFonts w:hint="eastAsia" w:ascii="宋体" w:hAnsi="宋体" w:cs="宋体"/>
                <w:kern w:val="0"/>
              </w:rPr>
              <w:t xml:space="preserve">2.部门预算资金能根据年度工作重点，在不同项目、不同用途之间合理分配（1分）；                                                            </w:t>
            </w:r>
            <w:r>
              <w:rPr>
                <w:rFonts w:hint="eastAsia" w:ascii="宋体" w:hAnsi="宋体" w:cs="宋体"/>
                <w:kern w:val="0"/>
              </w:rPr>
              <w:br w:type="textWrapping"/>
            </w:r>
            <w:r>
              <w:rPr>
                <w:rFonts w:hint="eastAsia" w:ascii="宋体" w:hAnsi="宋体" w:cs="宋体"/>
                <w:kern w:val="0"/>
              </w:rPr>
              <w:t xml:space="preserve">3.专项资金预算编制细化程度合理，未出现因年中调剂导致部门预决算差异过大问题（1分）；                                                                                       </w:t>
            </w:r>
            <w:r>
              <w:rPr>
                <w:rFonts w:hint="eastAsia" w:ascii="宋体" w:hAnsi="宋体" w:cs="宋体"/>
                <w:kern w:val="0"/>
              </w:rPr>
              <w:br w:type="textWrapping"/>
            </w:r>
            <w:r>
              <w:rPr>
                <w:rFonts w:hint="eastAsia" w:ascii="宋体" w:hAnsi="宋体" w:cs="宋体"/>
                <w:kern w:val="0"/>
              </w:rPr>
              <w:t>4.功能分类和经济分类编制准确，年度中间无大量调剂，未发生项目之间频繁调剂（1分）；</w:t>
            </w:r>
            <w:r>
              <w:rPr>
                <w:rFonts w:hint="eastAsia" w:ascii="宋体" w:hAnsi="宋体" w:cs="宋体"/>
                <w:kern w:val="0"/>
              </w:rPr>
              <w:br w:type="textWrapping"/>
            </w:r>
            <w:r>
              <w:rPr>
                <w:rFonts w:hint="eastAsia" w:ascii="宋体" w:hAnsi="宋体" w:cs="宋体"/>
                <w:kern w:val="0"/>
              </w:rPr>
              <w:t>5.部门预算分配不固化，能根据实际情况合理调整，不存在项目支出进度慢、完成率低、绩效较差，但连年持续安排预算等不合理的情况（1分）。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4</w:t>
            </w:r>
          </w:p>
        </w:tc>
      </w:tr>
      <w:tr>
        <w:tblPrEx>
          <w:tblCellMar>
            <w:top w:w="0" w:type="dxa"/>
            <w:left w:w="108" w:type="dxa"/>
            <w:bottom w:w="0" w:type="dxa"/>
            <w:right w:w="108" w:type="dxa"/>
          </w:tblCellMar>
        </w:tblPrEx>
        <w:trPr>
          <w:trHeight w:val="1554"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预算编制规范性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5</w:t>
            </w:r>
          </w:p>
        </w:tc>
        <w:tc>
          <w:tcPr>
            <w:tcW w:w="7710" w:type="dxa"/>
            <w:tcBorders>
              <w:top w:val="nil"/>
              <w:left w:val="nil"/>
              <w:bottom w:val="single" w:color="auto" w:sz="4" w:space="0"/>
              <w:right w:val="single" w:color="auto" w:sz="4" w:space="0"/>
            </w:tcBorders>
          </w:tcPr>
          <w:p>
            <w:pPr>
              <w:widowControl/>
              <w:spacing w:line="240" w:lineRule="exact"/>
              <w:jc w:val="left"/>
              <w:rPr>
                <w:rFonts w:ascii="宋体" w:hAnsi="宋体" w:cs="宋体"/>
                <w:kern w:val="0"/>
              </w:rPr>
            </w:pPr>
          </w:p>
          <w:p>
            <w:pPr>
              <w:widowControl/>
              <w:spacing w:line="240" w:lineRule="exact"/>
              <w:jc w:val="left"/>
              <w:rPr>
                <w:rFonts w:ascii="宋体"/>
                <w:kern w:val="0"/>
              </w:rPr>
            </w:pPr>
            <w:r>
              <w:rPr>
                <w:rFonts w:ascii="宋体" w:hAnsi="宋体" w:cs="宋体"/>
                <w:kern w:val="0"/>
              </w:rPr>
              <w:t>1.</w:t>
            </w:r>
            <w:r>
              <w:rPr>
                <w:rFonts w:hint="eastAsia" w:ascii="宋体" w:hAnsi="宋体" w:cs="宋体"/>
                <w:kern w:val="0"/>
              </w:rPr>
              <w:t>部门（单位）预算编制符合财政部门当年度关于预算编制的各项原则和要求，符合专项资金预算编制、项目库管理、新增项目事前绩效评估等要求（</w:t>
            </w:r>
            <w:r>
              <w:rPr>
                <w:rFonts w:ascii="宋体" w:hAnsi="宋体" w:cs="宋体"/>
                <w:kern w:val="0"/>
              </w:rPr>
              <w:t>5</w:t>
            </w:r>
            <w:r>
              <w:rPr>
                <w:rFonts w:hint="eastAsia" w:ascii="宋体" w:hAnsi="宋体" w:cs="宋体"/>
                <w:kern w:val="0"/>
              </w:rPr>
              <w:t>分）；</w:t>
            </w:r>
          </w:p>
          <w:p>
            <w:pPr>
              <w:widowControl/>
              <w:spacing w:line="240" w:lineRule="exact"/>
              <w:jc w:val="left"/>
              <w:rPr>
                <w:rFonts w:ascii="宋体"/>
                <w:kern w:val="0"/>
              </w:rPr>
            </w:pPr>
            <w:r>
              <w:rPr>
                <w:rFonts w:ascii="宋体" w:hAnsi="宋体" w:cs="宋体"/>
                <w:kern w:val="0"/>
              </w:rPr>
              <w:t>2.</w:t>
            </w:r>
            <w:r>
              <w:rPr>
                <w:rFonts w:hint="eastAsia" w:ascii="宋体" w:hAnsi="宋体" w:cs="宋体"/>
                <w:kern w:val="0"/>
              </w:rPr>
              <w:t>发现一项不符合的扣</w:t>
            </w:r>
            <w:r>
              <w:rPr>
                <w:rFonts w:ascii="宋体" w:hAnsi="宋体" w:cs="宋体"/>
                <w:kern w:val="0"/>
              </w:rPr>
              <w:t>1</w:t>
            </w:r>
            <w:r>
              <w:rPr>
                <w:rFonts w:hint="eastAsia" w:ascii="宋体" w:hAnsi="宋体" w:cs="宋体"/>
                <w:kern w:val="0"/>
              </w:rPr>
              <w:t>分，扣完为止。</w:t>
            </w:r>
          </w:p>
          <w:p>
            <w:pPr>
              <w:widowControl/>
              <w:spacing w:line="240" w:lineRule="exact"/>
              <w:jc w:val="left"/>
              <w:rPr>
                <w:rFonts w:ascii="宋体"/>
                <w:kern w:val="0"/>
              </w:rPr>
            </w:pPr>
            <w:r>
              <w:rPr>
                <w:rFonts w:hint="eastAsia" w:ascii="宋体" w:hAnsi="宋体" w:cs="宋体"/>
                <w:kern w:val="0"/>
              </w:rPr>
              <w:t>本指标需对照相应年度由财政部门印发的部门预算编制工作方案、通知和有关制度文件，根据实际情况评分。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5</w:t>
            </w:r>
          </w:p>
        </w:tc>
      </w:tr>
      <w:tr>
        <w:tblPrEx>
          <w:tblCellMar>
            <w:top w:w="0" w:type="dxa"/>
            <w:left w:w="108" w:type="dxa"/>
            <w:bottom w:w="0" w:type="dxa"/>
            <w:right w:w="108" w:type="dxa"/>
          </w:tblCellMar>
        </w:tblPrEx>
        <w:trPr>
          <w:trHeight w:val="1081"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目标设置</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1</w:t>
            </w:r>
            <w:r>
              <w:rPr>
                <w:rFonts w:hint="eastAsia" w:ascii="宋体" w:hAnsi="宋体" w:cs="宋体"/>
                <w:kern w:val="0"/>
              </w:rPr>
              <w:t>5</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绩效目标完整性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8</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1.部门（单位）按要求编报部门整体和项目的绩效目标，实现绩效目标全覆盖（8分）；</w:t>
            </w:r>
          </w:p>
          <w:p>
            <w:pPr>
              <w:widowControl/>
              <w:spacing w:line="240" w:lineRule="exact"/>
              <w:rPr>
                <w:rFonts w:ascii="宋体"/>
                <w:kern w:val="0"/>
              </w:rPr>
            </w:pPr>
            <w:r>
              <w:rPr>
                <w:rFonts w:hint="eastAsia" w:ascii="宋体" w:hAnsi="宋体" w:cs="宋体"/>
                <w:kern w:val="0"/>
              </w:rPr>
              <w:t>2.没按要求编报绩效目标或绩效目标不符合要求的，一项扣</w:t>
            </w:r>
            <w:r>
              <w:rPr>
                <w:rFonts w:ascii="宋体" w:hAnsi="宋体" w:cs="宋体"/>
                <w:kern w:val="0"/>
              </w:rPr>
              <w:t>1</w:t>
            </w:r>
            <w:r>
              <w:rPr>
                <w:rFonts w:hint="eastAsia" w:ascii="宋体" w:hAnsi="宋体" w:cs="宋体"/>
                <w:kern w:val="0"/>
              </w:rPr>
              <w:t>分，扣完为止。</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8</w:t>
            </w:r>
          </w:p>
        </w:tc>
      </w:tr>
      <w:tr>
        <w:tblPrEx>
          <w:tblCellMar>
            <w:top w:w="0" w:type="dxa"/>
            <w:left w:w="108" w:type="dxa"/>
            <w:bottom w:w="0" w:type="dxa"/>
            <w:right w:w="108" w:type="dxa"/>
          </w:tblCellMar>
        </w:tblPrEx>
        <w:trPr>
          <w:trHeight w:val="195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绩效指标明确性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7</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ascii="宋体" w:hAnsi="宋体" w:cs="宋体"/>
                <w:kern w:val="0"/>
              </w:rPr>
              <w:t>1.</w:t>
            </w:r>
            <w:r>
              <w:rPr>
                <w:rFonts w:hint="eastAsia" w:ascii="宋体" w:hAnsi="宋体" w:cs="宋体"/>
                <w:kern w:val="0"/>
              </w:rPr>
              <w:t>绩效指标将部门整体绩效目标细化分解为具体工作任务，与部门年度任务数或计划数相对应（2分）；</w:t>
            </w:r>
          </w:p>
          <w:p>
            <w:pPr>
              <w:widowControl/>
              <w:spacing w:line="240" w:lineRule="exact"/>
              <w:rPr>
                <w:rFonts w:ascii="宋体" w:hAnsi="宋体" w:cs="宋体"/>
                <w:kern w:val="0"/>
              </w:rPr>
            </w:pPr>
            <w:r>
              <w:rPr>
                <w:rFonts w:hint="eastAsia" w:ascii="宋体" w:hAnsi="宋体" w:cs="宋体"/>
                <w:kern w:val="0"/>
              </w:rPr>
              <w:t>2.绩效指标中包含能够明确体现部门（单位）履职效果的社会、经济、生态效益指标（2分）；</w:t>
            </w:r>
            <w:r>
              <w:rPr>
                <w:rFonts w:ascii="宋体"/>
                <w:kern w:val="0"/>
              </w:rPr>
              <w:br w:type="textWrapping"/>
            </w:r>
            <w:r>
              <w:rPr>
                <w:rFonts w:hint="eastAsia" w:ascii="宋体" w:hAnsi="宋体" w:cs="宋体"/>
                <w:kern w:val="0"/>
              </w:rPr>
              <w:t>3.绩效指标具有清晰、可衡量的指标值（</w:t>
            </w:r>
            <w:r>
              <w:rPr>
                <w:rFonts w:ascii="宋体" w:hAnsi="宋体" w:cs="宋体"/>
                <w:kern w:val="0"/>
              </w:rPr>
              <w:t>1</w:t>
            </w:r>
            <w:r>
              <w:rPr>
                <w:rFonts w:hint="eastAsia" w:ascii="宋体" w:hAnsi="宋体" w:cs="宋体"/>
                <w:kern w:val="0"/>
              </w:rPr>
              <w:t>分）；</w:t>
            </w:r>
            <w:r>
              <w:rPr>
                <w:rFonts w:ascii="宋体"/>
                <w:kern w:val="0"/>
              </w:rPr>
              <w:br w:type="textWrapping"/>
            </w:r>
            <w:r>
              <w:rPr>
                <w:rFonts w:hint="eastAsia" w:ascii="宋体" w:hAnsi="宋体" w:cs="宋体"/>
                <w:kern w:val="0"/>
              </w:rPr>
              <w:t>4</w:t>
            </w:r>
            <w:r>
              <w:rPr>
                <w:rFonts w:ascii="宋体" w:hAnsi="宋体" w:cs="宋体"/>
                <w:kern w:val="0"/>
              </w:rPr>
              <w:t>.</w:t>
            </w:r>
            <w:r>
              <w:rPr>
                <w:rFonts w:hint="eastAsia" w:ascii="宋体" w:hAnsi="宋体" w:cs="宋体"/>
                <w:kern w:val="0"/>
              </w:rPr>
              <w:t>绩效指标包含可量化的指标（</w:t>
            </w:r>
            <w:r>
              <w:rPr>
                <w:rFonts w:ascii="宋体" w:hAnsi="宋体" w:cs="宋体"/>
                <w:kern w:val="0"/>
              </w:rPr>
              <w:t>1</w:t>
            </w:r>
            <w:r>
              <w:rPr>
                <w:rFonts w:hint="eastAsia" w:ascii="宋体" w:hAnsi="宋体" w:cs="宋体"/>
                <w:kern w:val="0"/>
              </w:rPr>
              <w:t>分）；</w:t>
            </w:r>
          </w:p>
          <w:p>
            <w:pPr>
              <w:widowControl/>
              <w:spacing w:line="240" w:lineRule="exact"/>
              <w:rPr>
                <w:rFonts w:ascii="宋体"/>
                <w:kern w:val="0"/>
              </w:rPr>
            </w:pPr>
            <w:r>
              <w:rPr>
                <w:rFonts w:hint="eastAsia" w:ascii="宋体" w:hAnsi="宋体" w:cs="宋体"/>
                <w:kern w:val="0"/>
              </w:rPr>
              <w:t>5</w:t>
            </w:r>
            <w:r>
              <w:rPr>
                <w:rFonts w:ascii="宋体" w:hAnsi="宋体" w:cs="宋体"/>
                <w:kern w:val="0"/>
              </w:rPr>
              <w:t>.</w:t>
            </w:r>
            <w:r>
              <w:rPr>
                <w:rFonts w:hint="eastAsia" w:ascii="宋体" w:hAnsi="宋体" w:cs="宋体"/>
                <w:kern w:val="0"/>
              </w:rPr>
              <w:t>绩效目标的目标值测算能提供相关依据或符合客观实际情况（</w:t>
            </w:r>
            <w:r>
              <w:rPr>
                <w:rFonts w:ascii="宋体" w:hAnsi="宋体" w:cs="宋体"/>
                <w:kern w:val="0"/>
              </w:rPr>
              <w:t>1</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7</w:t>
            </w:r>
          </w:p>
        </w:tc>
      </w:tr>
      <w:tr>
        <w:tblPrEx>
          <w:tblCellMar>
            <w:top w:w="0" w:type="dxa"/>
            <w:left w:w="108" w:type="dxa"/>
            <w:bottom w:w="0" w:type="dxa"/>
            <w:right w:w="108" w:type="dxa"/>
          </w:tblCellMar>
        </w:tblPrEx>
        <w:trPr>
          <w:trHeight w:val="1545" w:hRule="atLeast"/>
        </w:trPr>
        <w:tc>
          <w:tcPr>
            <w:tcW w:w="92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部门管理</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20</w:t>
            </w: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资金管理</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8</w:t>
            </w: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政府采购执行率</w:t>
            </w:r>
          </w:p>
        </w:tc>
        <w:tc>
          <w:tcPr>
            <w:tcW w:w="8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771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1.本指标得分</w:t>
            </w:r>
            <w:r>
              <w:rPr>
                <w:rFonts w:ascii="宋体" w:hAnsi="宋体" w:cs="宋体"/>
                <w:kern w:val="0"/>
              </w:rPr>
              <w:t>=</w:t>
            </w:r>
            <w:r>
              <w:rPr>
                <w:rFonts w:hint="eastAsia" w:ascii="宋体" w:hAnsi="宋体" w:cs="宋体"/>
                <w:kern w:val="0"/>
              </w:rPr>
              <w:t>政府采购执行率×2分</w:t>
            </w:r>
            <w:r>
              <w:rPr>
                <w:rFonts w:ascii="宋体"/>
                <w:kern w:val="0"/>
              </w:rPr>
              <w:br w:type="textWrapping"/>
            </w:r>
            <w:r>
              <w:rPr>
                <w:rFonts w:hint="eastAsia" w:ascii="宋体" w:hAnsi="宋体" w:cs="宋体"/>
                <w:kern w:val="0"/>
              </w:rPr>
              <w:t>政府采购执行率</w:t>
            </w:r>
            <w:r>
              <w:rPr>
                <w:rFonts w:ascii="宋体" w:hAnsi="宋体" w:cs="宋体"/>
                <w:kern w:val="0"/>
              </w:rPr>
              <w:t>=</w:t>
            </w:r>
            <w:r>
              <w:rPr>
                <w:rFonts w:hint="eastAsia" w:ascii="宋体" w:hAnsi="宋体" w:cs="宋体"/>
                <w:kern w:val="0"/>
              </w:rPr>
              <w:t>（实际采购金额合计数</w:t>
            </w:r>
            <w:r>
              <w:rPr>
                <w:rFonts w:ascii="宋体" w:hAnsi="宋体" w:cs="宋体"/>
                <w:kern w:val="0"/>
              </w:rPr>
              <w:t>/</w:t>
            </w:r>
            <w:r>
              <w:rPr>
                <w:rFonts w:hint="eastAsia" w:ascii="宋体" w:hAnsi="宋体" w:cs="宋体"/>
                <w:kern w:val="0"/>
              </w:rPr>
              <w:t>采购计划金额合计数）×</w:t>
            </w:r>
            <w:r>
              <w:rPr>
                <w:rFonts w:ascii="宋体" w:hAnsi="宋体" w:cs="宋体"/>
                <w:kern w:val="0"/>
              </w:rPr>
              <w:t>100%</w:t>
            </w:r>
            <w:r>
              <w:rPr>
                <w:rFonts w:ascii="宋体" w:hAnsi="宋体" w:cs="宋体"/>
                <w:kern w:val="0"/>
              </w:rPr>
              <w:br w:type="textWrapping"/>
            </w:r>
            <w:r>
              <w:rPr>
                <w:rFonts w:hint="eastAsia" w:ascii="宋体" w:hAnsi="宋体" w:cs="宋体"/>
                <w:kern w:val="0"/>
              </w:rPr>
              <w:t>2.如实际采购金额大于采购计划金额，本项得0分。</w:t>
            </w:r>
            <w:r>
              <w:rPr>
                <w:rFonts w:ascii="宋体"/>
                <w:kern w:val="0"/>
              </w:rPr>
              <w:br w:type="textWrapping"/>
            </w:r>
            <w:r>
              <w:rPr>
                <w:rFonts w:hint="eastAsia" w:ascii="宋体" w:hAnsi="宋体" w:cs="宋体"/>
                <w:kern w:val="0"/>
              </w:rPr>
              <w:t>政府采购预算是指采购机关根据事业发展计划和行政任务编制的、并经过规定程序批准的年度政府采购计划。</w:t>
            </w:r>
          </w:p>
        </w:tc>
        <w:tc>
          <w:tcPr>
            <w:tcW w:w="7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0.99</w:t>
            </w:r>
          </w:p>
        </w:tc>
      </w:tr>
      <w:tr>
        <w:tblPrEx>
          <w:tblCellMar>
            <w:top w:w="0" w:type="dxa"/>
            <w:left w:w="108" w:type="dxa"/>
            <w:bottom w:w="0" w:type="dxa"/>
            <w:right w:w="108" w:type="dxa"/>
          </w:tblCellMar>
        </w:tblPrEx>
        <w:trPr>
          <w:trHeight w:val="247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财务合规性</w:t>
            </w:r>
          </w:p>
        </w:tc>
        <w:tc>
          <w:tcPr>
            <w:tcW w:w="8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3</w:t>
            </w:r>
          </w:p>
        </w:tc>
        <w:tc>
          <w:tcPr>
            <w:tcW w:w="771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rPr>
            </w:pPr>
            <w:r>
              <w:rPr>
                <w:rFonts w:ascii="宋体" w:hAnsi="宋体" w:cs="宋体"/>
                <w:kern w:val="0"/>
              </w:rPr>
              <w:t>1.</w:t>
            </w:r>
            <w:r>
              <w:rPr>
                <w:rFonts w:hint="eastAsia" w:ascii="宋体" w:hAnsi="宋体" w:cs="宋体"/>
                <w:kern w:val="0"/>
              </w:rPr>
              <w:t>预算执行规范性（1.5分）。按规定履行预算调整报批手续或未发生调整，资金管理、费用标准、支付符合有关制度规定，按事项完成进度支付资金的，得1.5分，否则酌情扣分。</w:t>
            </w:r>
            <w:r>
              <w:rPr>
                <w:rFonts w:ascii="宋体"/>
                <w:kern w:val="0"/>
              </w:rPr>
              <w:br w:type="textWrapping"/>
            </w:r>
            <w:r>
              <w:rPr>
                <w:rFonts w:hint="eastAsia" w:ascii="宋体" w:hAnsi="宋体" w:cs="宋体"/>
                <w:kern w:val="0"/>
              </w:rPr>
              <w:t>2.会计核算规范性（1.5分）。规范执行会计核算制度得1.5分，未按规定设专账核算、支出凭证不符合规定或其他核算不规范，酌情扣分。</w:t>
            </w:r>
          </w:p>
          <w:p>
            <w:pPr>
              <w:widowControl/>
              <w:spacing w:line="240" w:lineRule="exact"/>
              <w:rPr>
                <w:rFonts w:ascii="宋体"/>
                <w:kern w:val="0"/>
              </w:rPr>
            </w:pPr>
            <w:r>
              <w:rPr>
                <w:rFonts w:hint="eastAsia" w:ascii="宋体" w:hAnsi="宋体" w:cs="宋体"/>
                <w:kern w:val="0"/>
              </w:rPr>
              <w:t>3.发生超范围、超标准支出，虚列支出，截留、挤占、挪用资金的，以及其他不符合制度规定支出，本项指标得0分。</w:t>
            </w:r>
          </w:p>
        </w:tc>
        <w:tc>
          <w:tcPr>
            <w:tcW w:w="7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2254"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预决算信息公开</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3</w:t>
            </w:r>
          </w:p>
        </w:tc>
        <w:tc>
          <w:tcPr>
            <w:tcW w:w="7710" w:type="dxa"/>
            <w:tcBorders>
              <w:top w:val="nil"/>
              <w:left w:val="nil"/>
              <w:bottom w:val="single" w:color="auto" w:sz="4" w:space="0"/>
              <w:right w:val="single" w:color="auto" w:sz="4" w:space="0"/>
            </w:tcBorders>
            <w:vAlign w:val="center"/>
          </w:tcPr>
          <w:p>
            <w:pPr>
              <w:widowControl/>
              <w:numPr>
                <w:ilvl w:val="0"/>
                <w:numId w:val="3"/>
              </w:numPr>
              <w:spacing w:line="240" w:lineRule="exact"/>
              <w:rPr>
                <w:rFonts w:ascii="宋体" w:hAnsi="宋体" w:cs="宋体"/>
                <w:kern w:val="0"/>
              </w:rPr>
            </w:pPr>
            <w:r>
              <w:rPr>
                <w:rFonts w:hint="eastAsia" w:ascii="宋体" w:hAnsi="宋体" w:cs="宋体"/>
                <w:kern w:val="0"/>
              </w:rPr>
              <w:t>部门预算公开（1.5分），按以下标准分档计分：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p>
          <w:p>
            <w:pPr>
              <w:widowControl/>
              <w:spacing w:line="240" w:lineRule="exact"/>
              <w:rPr>
                <w:rFonts w:ascii="宋体" w:hAnsi="宋体" w:cs="宋体"/>
                <w:kern w:val="0"/>
              </w:rPr>
            </w:pPr>
            <w:r>
              <w:rPr>
                <w:rFonts w:ascii="宋体" w:hAnsi="宋体" w:cs="宋体"/>
                <w:kern w:val="0"/>
              </w:rPr>
              <w:t>2.</w:t>
            </w:r>
            <w:r>
              <w:rPr>
                <w:rFonts w:hint="eastAsia" w:ascii="宋体" w:hAnsi="宋体" w:cs="宋体"/>
                <w:kern w:val="0"/>
              </w:rPr>
              <w:t>部门决算公开（1.5分），按以下标准分档计分：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p>
          <w:p>
            <w:pPr>
              <w:widowControl/>
              <w:spacing w:line="240" w:lineRule="exact"/>
              <w:rPr>
                <w:rFonts w:ascii="宋体"/>
                <w:kern w:val="0"/>
              </w:rPr>
            </w:pPr>
            <w:r>
              <w:rPr>
                <w:rFonts w:ascii="宋体" w:hAnsi="宋体" w:cs="宋体"/>
                <w:kern w:val="0"/>
              </w:rPr>
              <w:t xml:space="preserve"> </w:t>
            </w:r>
            <w:r>
              <w:rPr>
                <w:rFonts w:hint="eastAsia" w:ascii="宋体" w:hAnsi="宋体" w:cs="宋体"/>
                <w:kern w:val="0"/>
              </w:rPr>
              <w:t>3.涉密部门（单位）按规定不需要公开相关预决算信息的直接得分。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82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项目管理</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4</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项目实施程序</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kern w:val="0"/>
              </w:rPr>
            </w:pPr>
            <w:r>
              <w:rPr>
                <w:rFonts w:ascii="宋体" w:hAnsi="宋体" w:cs="宋体"/>
                <w:kern w:val="0"/>
              </w:rPr>
              <w:t>1.</w:t>
            </w:r>
            <w:r>
              <w:rPr>
                <w:rFonts w:hint="eastAsia" w:ascii="宋体" w:hAnsi="宋体" w:cs="宋体"/>
                <w:kern w:val="0"/>
              </w:rPr>
              <w:t>项目的设立、调整按规定履行报批程序（</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2.</w:t>
            </w:r>
            <w:r>
              <w:rPr>
                <w:rFonts w:hint="eastAsia" w:ascii="宋体" w:hAnsi="宋体" w:cs="宋体"/>
                <w:kern w:val="0"/>
              </w:rPr>
              <w:t>项目招投标、建设、验收以及方案实施均严格执行相关制度规定（</w:t>
            </w:r>
            <w:r>
              <w:rPr>
                <w:rFonts w:ascii="宋体" w:hAnsi="宋体" w:cs="宋体"/>
                <w:kern w:val="0"/>
              </w:rPr>
              <w:t>1</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437"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rPr>
            </w:pPr>
            <w:r>
              <w:rPr>
                <w:rFonts w:hint="eastAsia" w:ascii="宋体" w:hAnsi="宋体" w:cs="宋体"/>
                <w:kern w:val="0"/>
              </w:rPr>
              <w:t>项目</w:t>
            </w:r>
          </w:p>
          <w:p>
            <w:pPr>
              <w:widowControl/>
              <w:spacing w:line="240" w:lineRule="exact"/>
              <w:jc w:val="left"/>
              <w:rPr>
                <w:rFonts w:ascii="宋体"/>
                <w:kern w:val="0"/>
              </w:rPr>
            </w:pPr>
            <w:r>
              <w:rPr>
                <w:rFonts w:hint="eastAsia" w:ascii="宋体" w:hAnsi="宋体" w:cs="宋体"/>
                <w:kern w:val="0"/>
              </w:rPr>
              <w:t>监管</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2</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kern w:val="0"/>
              </w:rPr>
            </w:pPr>
            <w:r>
              <w:rPr>
                <w:rFonts w:ascii="宋体" w:hAnsi="宋体" w:cs="宋体"/>
                <w:kern w:val="0"/>
              </w:rPr>
              <w:t>1.</w:t>
            </w:r>
            <w:r>
              <w:rPr>
                <w:rFonts w:hint="eastAsia" w:ascii="宋体" w:hAnsi="宋体" w:cs="宋体"/>
                <w:kern w:val="0"/>
              </w:rPr>
              <w:t>资金使用单位、基层资金管理单位建立有效资金管理和绩效运行监控机制，且执行情况良好（1分）；</w:t>
            </w:r>
            <w:r>
              <w:rPr>
                <w:rFonts w:ascii="宋体"/>
                <w:kern w:val="0"/>
              </w:rPr>
              <w:br w:type="textWrapping"/>
            </w:r>
            <w:r>
              <w:rPr>
                <w:rFonts w:ascii="宋体" w:hAnsi="宋体" w:cs="宋体"/>
                <w:kern w:val="0"/>
              </w:rPr>
              <w:t>2.</w:t>
            </w:r>
            <w:r>
              <w:rPr>
                <w:rFonts w:hint="eastAsia" w:ascii="宋体" w:hAnsi="宋体" w:cs="宋体"/>
                <w:kern w:val="0"/>
              </w:rPr>
              <w:t>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87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3</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资产管理安全性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kern w:val="0"/>
              </w:rPr>
            </w:pPr>
            <w:r>
              <w:rPr>
                <w:rFonts w:ascii="宋体" w:hAnsi="宋体" w:cs="宋体"/>
                <w:kern w:val="0"/>
              </w:rPr>
              <w:t>1.</w:t>
            </w:r>
            <w:r>
              <w:rPr>
                <w:rFonts w:hint="eastAsia" w:ascii="宋体" w:hAnsi="宋体" w:cs="宋体"/>
                <w:kern w:val="0"/>
              </w:rPr>
              <w:t>资产配置合理、保管完整，账实相符（</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2.</w:t>
            </w:r>
            <w:r>
              <w:rPr>
                <w:rFonts w:hint="eastAsia" w:ascii="宋体" w:hAnsi="宋体" w:cs="宋体"/>
                <w:kern w:val="0"/>
              </w:rPr>
              <w:t>资产处置规范，有偿使用及处置收入及时足额上缴（</w:t>
            </w:r>
            <w:r>
              <w:rPr>
                <w:rFonts w:ascii="宋体" w:hAnsi="宋体" w:cs="宋体"/>
                <w:kern w:val="0"/>
              </w:rPr>
              <w:t>1</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2</w:t>
            </w:r>
          </w:p>
        </w:tc>
      </w:tr>
      <w:tr>
        <w:tblPrEx>
          <w:tblCellMar>
            <w:top w:w="0" w:type="dxa"/>
            <w:left w:w="108" w:type="dxa"/>
            <w:bottom w:w="0" w:type="dxa"/>
            <w:right w:w="108" w:type="dxa"/>
          </w:tblCellMar>
        </w:tblPrEx>
        <w:trPr>
          <w:trHeight w:val="169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固定资产利用率</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1</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固定资产利用率=（实际在用固定资产总额/所有固定资产总额）×</w:t>
            </w:r>
            <w:r>
              <w:rPr>
                <w:rFonts w:ascii="宋体" w:hAnsi="宋体" w:cs="宋体"/>
                <w:kern w:val="0"/>
              </w:rPr>
              <w:t xml:space="preserve">100%    </w:t>
            </w:r>
          </w:p>
          <w:p>
            <w:pPr>
              <w:widowControl/>
              <w:spacing w:line="240" w:lineRule="exact"/>
              <w:ind w:firstLine="420" w:firstLineChars="200"/>
              <w:rPr>
                <w:rFonts w:ascii="宋体"/>
                <w:kern w:val="0"/>
              </w:rPr>
            </w:pPr>
            <w:r>
              <w:rPr>
                <w:rFonts w:ascii="宋体" w:hAnsi="宋体" w:cs="宋体"/>
                <w:kern w:val="0"/>
              </w:rPr>
              <w:t>1.</w:t>
            </w:r>
            <w:r>
              <w:rPr>
                <w:rFonts w:hint="eastAsia" w:ascii="宋体" w:hAnsi="宋体" w:cs="宋体"/>
                <w:kern w:val="0"/>
              </w:rPr>
              <w:t>固定资产利用率≥</w:t>
            </w:r>
            <w:r>
              <w:rPr>
                <w:rFonts w:ascii="宋体" w:hAnsi="宋体" w:cs="宋体"/>
                <w:kern w:val="0"/>
              </w:rPr>
              <w:t>90%</w:t>
            </w:r>
            <w:r>
              <w:rPr>
                <w:rFonts w:hint="eastAsia" w:ascii="宋体" w:hAnsi="宋体" w:cs="宋体"/>
                <w:kern w:val="0"/>
              </w:rPr>
              <w:t>的，得1分；</w:t>
            </w:r>
            <w:r>
              <w:rPr>
                <w:rFonts w:ascii="宋体"/>
                <w:kern w:val="0"/>
              </w:rPr>
              <w:br w:type="textWrapping"/>
            </w:r>
            <w:r>
              <w:rPr>
                <w:rFonts w:ascii="宋体" w:hAnsi="宋体" w:cs="宋体"/>
                <w:kern w:val="0"/>
              </w:rPr>
              <w:t xml:space="preserve">    2.90%</w:t>
            </w:r>
            <w:r>
              <w:rPr>
                <w:rFonts w:hint="eastAsia" w:ascii="宋体" w:hAnsi="宋体" w:cs="宋体"/>
                <w:kern w:val="0"/>
              </w:rPr>
              <w:t>＞固定资产利用率≥</w:t>
            </w:r>
            <w:r>
              <w:rPr>
                <w:rFonts w:ascii="宋体" w:hAnsi="宋体" w:cs="宋体"/>
                <w:kern w:val="0"/>
              </w:rPr>
              <w:t>75%</w:t>
            </w:r>
            <w:r>
              <w:rPr>
                <w:rFonts w:hint="eastAsia" w:ascii="宋体" w:hAnsi="宋体" w:cs="宋体"/>
                <w:kern w:val="0"/>
              </w:rPr>
              <w:t>的，得0.7分；</w:t>
            </w:r>
            <w:r>
              <w:rPr>
                <w:rFonts w:ascii="宋体"/>
                <w:kern w:val="0"/>
              </w:rPr>
              <w:br w:type="textWrapping"/>
            </w:r>
            <w:r>
              <w:rPr>
                <w:rFonts w:ascii="宋体" w:hAnsi="宋体" w:cs="宋体"/>
                <w:kern w:val="0"/>
              </w:rPr>
              <w:t xml:space="preserve">    3.75%</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hAnsi="宋体" w:cs="宋体"/>
                <w:kern w:val="0"/>
              </w:rPr>
              <w:t>0.</w:t>
            </w:r>
            <w:r>
              <w:rPr>
                <w:rFonts w:hint="eastAsia" w:ascii="宋体" w:hAnsi="宋体" w:cs="宋体"/>
                <w:kern w:val="0"/>
              </w:rPr>
              <w:t>4分；</w:t>
            </w:r>
            <w:r>
              <w:rPr>
                <w:rFonts w:ascii="宋体"/>
                <w:kern w:val="0"/>
              </w:rPr>
              <w:br w:type="textWrapping"/>
            </w:r>
            <w:r>
              <w:rPr>
                <w:rFonts w:ascii="宋体" w:hAnsi="宋体" w:cs="宋体"/>
                <w:kern w:val="0"/>
              </w:rPr>
              <w:t xml:space="preserve">    4.</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cs="宋体"/>
                <w:kern w:val="0"/>
              </w:rPr>
              <w:t>0</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1</w:t>
            </w:r>
          </w:p>
        </w:tc>
      </w:tr>
      <w:tr>
        <w:tblPrEx>
          <w:tblCellMar>
            <w:top w:w="0" w:type="dxa"/>
            <w:left w:w="108" w:type="dxa"/>
            <w:bottom w:w="0" w:type="dxa"/>
            <w:right w:w="108" w:type="dxa"/>
          </w:tblCellMar>
        </w:tblPrEx>
        <w:trPr>
          <w:trHeight w:val="1109"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人员管理</w:t>
            </w:r>
          </w:p>
        </w:tc>
        <w:tc>
          <w:tcPr>
            <w:tcW w:w="915"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2</w:t>
            </w: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财政供养人员控制率</w:t>
            </w:r>
          </w:p>
        </w:tc>
        <w:tc>
          <w:tcPr>
            <w:tcW w:w="8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1</w:t>
            </w:r>
          </w:p>
        </w:tc>
        <w:tc>
          <w:tcPr>
            <w:tcW w:w="771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240" w:lineRule="exact"/>
              <w:rPr>
                <w:rFonts w:ascii="宋体" w:hAnsi="宋体" w:cs="宋体"/>
                <w:kern w:val="0"/>
              </w:rPr>
            </w:pPr>
            <w:r>
              <w:rPr>
                <w:rFonts w:ascii="宋体" w:hAnsi="宋体" w:cs="宋体"/>
                <w:kern w:val="0"/>
              </w:rPr>
              <w:t xml:space="preserve">  </w:t>
            </w:r>
            <w:r>
              <w:rPr>
                <w:rFonts w:hint="eastAsia" w:ascii="宋体" w:hAnsi="宋体" w:cs="宋体"/>
                <w:kern w:val="0"/>
              </w:rPr>
              <w:t xml:space="preserve"> 1.财政供养人员控制率≤</w:t>
            </w:r>
            <w:r>
              <w:rPr>
                <w:rFonts w:ascii="宋体" w:hAnsi="宋体" w:cs="宋体"/>
                <w:kern w:val="0"/>
              </w:rPr>
              <w:t>100%</w:t>
            </w:r>
            <w:r>
              <w:rPr>
                <w:rFonts w:hint="eastAsia" w:ascii="宋体" w:hAnsi="宋体" w:cs="宋体"/>
                <w:kern w:val="0"/>
              </w:rPr>
              <w:t>的，得1分；</w:t>
            </w:r>
          </w:p>
          <w:p>
            <w:pPr>
              <w:widowControl/>
              <w:spacing w:line="240" w:lineRule="exact"/>
              <w:rPr>
                <w:rFonts w:ascii="宋体"/>
                <w:kern w:val="0"/>
              </w:rPr>
            </w:pPr>
            <w:r>
              <w:rPr>
                <w:rFonts w:hint="eastAsia" w:ascii="宋体"/>
                <w:kern w:val="0"/>
              </w:rPr>
              <w:t xml:space="preserve">   2.</w:t>
            </w:r>
            <w:r>
              <w:rPr>
                <w:rFonts w:hint="eastAsia" w:ascii="宋体" w:hAnsi="宋体" w:cs="宋体"/>
                <w:kern w:val="0"/>
              </w:rPr>
              <w:t>财政供养人员控制率＞</w:t>
            </w:r>
            <w:r>
              <w:rPr>
                <w:rFonts w:ascii="宋体" w:hAnsi="宋体" w:cs="宋体"/>
                <w:kern w:val="0"/>
              </w:rPr>
              <w:t>100%</w:t>
            </w:r>
            <w:r>
              <w:rPr>
                <w:rFonts w:hint="eastAsia" w:ascii="宋体" w:hAnsi="宋体" w:cs="宋体"/>
                <w:kern w:val="0"/>
              </w:rPr>
              <w:t>的，得0分。</w:t>
            </w:r>
          </w:p>
        </w:tc>
        <w:tc>
          <w:tcPr>
            <w:tcW w:w="7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w:t>
            </w:r>
          </w:p>
        </w:tc>
      </w:tr>
      <w:tr>
        <w:tblPrEx>
          <w:tblCellMar>
            <w:top w:w="0" w:type="dxa"/>
            <w:left w:w="108" w:type="dxa"/>
            <w:bottom w:w="0" w:type="dxa"/>
            <w:right w:w="108" w:type="dxa"/>
          </w:tblCellMar>
        </w:tblPrEx>
        <w:trPr>
          <w:trHeight w:val="1102"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编外人员控制率</w:t>
            </w:r>
          </w:p>
        </w:tc>
        <w:tc>
          <w:tcPr>
            <w:tcW w:w="82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1</w:t>
            </w:r>
          </w:p>
        </w:tc>
        <w:tc>
          <w:tcPr>
            <w:tcW w:w="7710" w:type="dxa"/>
            <w:tcBorders>
              <w:top w:val="single" w:color="auto" w:sz="4" w:space="0"/>
              <w:left w:val="nil"/>
              <w:bottom w:val="single" w:color="auto" w:sz="4" w:space="0"/>
              <w:right w:val="single" w:color="auto" w:sz="4" w:space="0"/>
            </w:tcBorders>
            <w:vAlign w:val="center"/>
          </w:tcPr>
          <w:p>
            <w:pPr>
              <w:widowControl/>
              <w:spacing w:line="240" w:lineRule="exact"/>
              <w:rPr>
                <w:rFonts w:ascii="宋体"/>
                <w:kern w:val="0"/>
              </w:rPr>
            </w:pPr>
            <w:r>
              <w:rPr>
                <w:rFonts w:ascii="宋体" w:hAnsi="宋体" w:cs="宋体"/>
                <w:kern w:val="0"/>
              </w:rPr>
              <w:t>1.</w:t>
            </w:r>
            <w:r>
              <w:rPr>
                <w:rFonts w:hint="eastAsia" w:ascii="宋体" w:hAnsi="宋体" w:cs="宋体"/>
                <w:kern w:val="0"/>
              </w:rPr>
              <w:t>比率＜</w:t>
            </w:r>
            <w:r>
              <w:rPr>
                <w:rFonts w:ascii="宋体" w:hAnsi="宋体" w:cs="宋体"/>
                <w:kern w:val="0"/>
              </w:rPr>
              <w:t>5%</w:t>
            </w:r>
            <w:r>
              <w:rPr>
                <w:rFonts w:hint="eastAsia" w:ascii="宋体" w:hAnsi="宋体" w:cs="宋体"/>
                <w:kern w:val="0"/>
              </w:rPr>
              <w:t>的，得1分；</w:t>
            </w:r>
          </w:p>
          <w:p>
            <w:pPr>
              <w:widowControl/>
              <w:spacing w:line="240" w:lineRule="exact"/>
              <w:rPr>
                <w:rFonts w:ascii="宋体"/>
                <w:kern w:val="0"/>
              </w:rPr>
            </w:pPr>
            <w:r>
              <w:rPr>
                <w:rFonts w:ascii="宋体" w:hAnsi="宋体" w:cs="宋体"/>
                <w:kern w:val="0"/>
              </w:rPr>
              <w:t>2.5%</w:t>
            </w:r>
            <w:r>
              <w:rPr>
                <w:rFonts w:hint="eastAsia" w:ascii="宋体" w:hAnsi="宋体" w:cs="宋体"/>
                <w:kern w:val="0"/>
              </w:rPr>
              <w:t>≤比率≤</w:t>
            </w:r>
            <w:r>
              <w:rPr>
                <w:rFonts w:ascii="宋体" w:hAnsi="宋体" w:cs="宋体"/>
                <w:kern w:val="0"/>
              </w:rPr>
              <w:t>10%</w:t>
            </w:r>
            <w:r>
              <w:rPr>
                <w:rFonts w:hint="eastAsia" w:ascii="宋体" w:hAnsi="宋体" w:cs="宋体"/>
                <w:kern w:val="0"/>
              </w:rPr>
              <w:t>的，得0.5分；</w:t>
            </w:r>
            <w:r>
              <w:rPr>
                <w:rFonts w:ascii="宋体"/>
                <w:kern w:val="0"/>
              </w:rPr>
              <w:br w:type="textWrapping"/>
            </w:r>
            <w:r>
              <w:rPr>
                <w:rFonts w:ascii="宋体" w:hAnsi="宋体" w:cs="宋体"/>
                <w:kern w:val="0"/>
              </w:rPr>
              <w:t>3</w:t>
            </w:r>
            <w:r>
              <w:rPr>
                <w:rFonts w:ascii="宋体" w:cs="宋体"/>
                <w:kern w:val="0"/>
              </w:rPr>
              <w:t>.</w:t>
            </w:r>
            <w:r>
              <w:rPr>
                <w:rFonts w:hint="eastAsia" w:ascii="宋体" w:hAnsi="宋体" w:cs="宋体"/>
                <w:kern w:val="0"/>
              </w:rPr>
              <w:t>比率＞</w:t>
            </w:r>
            <w:r>
              <w:rPr>
                <w:rFonts w:ascii="宋体" w:hAnsi="宋体" w:cs="宋体"/>
                <w:kern w:val="0"/>
              </w:rPr>
              <w:t>10%</w:t>
            </w:r>
            <w:r>
              <w:rPr>
                <w:rFonts w:hint="eastAsia" w:ascii="宋体" w:hAnsi="宋体" w:cs="宋体"/>
                <w:kern w:val="0"/>
              </w:rPr>
              <w:t>的，得</w:t>
            </w:r>
            <w:r>
              <w:rPr>
                <w:rFonts w:ascii="宋体" w:cs="宋体"/>
                <w:kern w:val="0"/>
              </w:rPr>
              <w:t>0</w:t>
            </w:r>
            <w:r>
              <w:rPr>
                <w:rFonts w:hint="eastAsia" w:ascii="宋体" w:hAnsi="宋体" w:cs="宋体"/>
                <w:kern w:val="0"/>
              </w:rPr>
              <w:t>分。</w:t>
            </w:r>
          </w:p>
        </w:tc>
        <w:tc>
          <w:tcPr>
            <w:tcW w:w="7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0</w:t>
            </w:r>
          </w:p>
        </w:tc>
      </w:tr>
      <w:tr>
        <w:tblPrEx>
          <w:tblCellMar>
            <w:top w:w="0" w:type="dxa"/>
            <w:left w:w="108" w:type="dxa"/>
            <w:bottom w:w="0" w:type="dxa"/>
            <w:right w:w="108" w:type="dxa"/>
          </w:tblCellMar>
        </w:tblPrEx>
        <w:trPr>
          <w:trHeight w:val="168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制度管理</w:t>
            </w:r>
          </w:p>
        </w:tc>
        <w:tc>
          <w:tcPr>
            <w:tcW w:w="91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3</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管理制度健全性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3</w:t>
            </w:r>
          </w:p>
        </w:tc>
        <w:tc>
          <w:tcPr>
            <w:tcW w:w="7710" w:type="dxa"/>
            <w:tcBorders>
              <w:top w:val="nil"/>
              <w:left w:val="nil"/>
              <w:bottom w:val="single" w:color="auto" w:sz="4" w:space="0"/>
              <w:right w:val="single" w:color="auto" w:sz="4" w:space="0"/>
            </w:tcBorders>
          </w:tcPr>
          <w:p>
            <w:pPr>
              <w:widowControl/>
              <w:spacing w:line="240" w:lineRule="exact"/>
              <w:jc w:val="left"/>
              <w:rPr>
                <w:rFonts w:ascii="宋体" w:hAnsi="宋体" w:cs="宋体"/>
                <w:kern w:val="0"/>
              </w:rPr>
            </w:pPr>
          </w:p>
          <w:p>
            <w:pPr>
              <w:widowControl/>
              <w:spacing w:line="240" w:lineRule="exact"/>
              <w:jc w:val="left"/>
              <w:rPr>
                <w:rFonts w:ascii="宋体"/>
                <w:kern w:val="0"/>
              </w:rPr>
            </w:pPr>
            <w:r>
              <w:rPr>
                <w:rFonts w:ascii="宋体" w:hAnsi="宋体" w:cs="宋体"/>
                <w:kern w:val="0"/>
              </w:rPr>
              <w:t>1.</w:t>
            </w:r>
            <w:r>
              <w:rPr>
                <w:rFonts w:hint="eastAsia" w:ascii="宋体" w:hAnsi="宋体" w:cs="宋体"/>
                <w:kern w:val="0"/>
              </w:rPr>
              <w:t>部门制定了财政资金管理、财务管理、内部控制等制度（</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2.</w:t>
            </w:r>
            <w:r>
              <w:rPr>
                <w:rFonts w:hint="eastAsia" w:ascii="宋体" w:hAnsi="宋体" w:cs="宋体"/>
                <w:kern w:val="0"/>
              </w:rPr>
              <w:t>上述财政资金管理、财务管理、内部控制等制度得到有效执行（</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3.</w:t>
            </w:r>
            <w:r>
              <w:rPr>
                <w:rFonts w:hint="eastAsia" w:ascii="宋体" w:hAnsi="宋体" w:cs="宋体"/>
                <w:kern w:val="0"/>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kern w:val="0"/>
              </w:rPr>
              <w:t>1</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2460" w:hRule="atLeast"/>
        </w:trPr>
        <w:tc>
          <w:tcPr>
            <w:tcW w:w="923"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部门绩效</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ascii="宋体" w:hAnsi="宋体" w:cs="宋体"/>
                <w:kern w:val="0"/>
              </w:rPr>
              <w:t>5</w:t>
            </w:r>
            <w:r>
              <w:rPr>
                <w:rFonts w:hint="eastAsia" w:ascii="宋体" w:hAnsi="宋体" w:cs="宋体"/>
                <w:kern w:val="0"/>
              </w:rPr>
              <w:t>5</w:t>
            </w:r>
          </w:p>
        </w:tc>
        <w:tc>
          <w:tcPr>
            <w:tcW w:w="930"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经济性</w:t>
            </w:r>
          </w:p>
        </w:tc>
        <w:tc>
          <w:tcPr>
            <w:tcW w:w="91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6</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公用经费控制率</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6</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cs="宋体"/>
                <w:kern w:val="0"/>
              </w:rPr>
            </w:pPr>
            <w:r>
              <w:rPr>
                <w:rFonts w:ascii="宋体" w:hAnsi="宋体" w:cs="宋体"/>
                <w:kern w:val="0"/>
              </w:rPr>
              <w:t>1.</w:t>
            </w:r>
            <w:r>
              <w:rPr>
                <w:rFonts w:hint="eastAsia" w:ascii="宋体" w:hAnsi="宋体" w:cs="宋体"/>
                <w:kern w:val="0"/>
              </w:rPr>
              <w:t>“三公”经费控制率=“三公”经费实际支出数/“三公”经费预算安排数×</w:t>
            </w:r>
            <w:r>
              <w:rPr>
                <w:rFonts w:ascii="宋体" w:hAnsi="宋体" w:cs="宋体"/>
                <w:kern w:val="0"/>
              </w:rPr>
              <w:t>100%</w:t>
            </w:r>
          </w:p>
          <w:p>
            <w:pPr>
              <w:widowControl/>
              <w:spacing w:line="24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“三公”经费控制率＜90%的，得3分；</w:t>
            </w:r>
          </w:p>
          <w:p>
            <w:pPr>
              <w:widowControl/>
              <w:spacing w:line="240" w:lineRule="exact"/>
              <w:ind w:firstLine="315" w:firstLineChars="150"/>
              <w:rPr>
                <w:rFonts w:ascii="宋体" w:hAnsi="宋体" w:cs="宋体"/>
                <w:kern w:val="0"/>
              </w:rPr>
            </w:pPr>
            <w:r>
              <w:rPr>
                <w:rFonts w:hint="eastAsia" w:ascii="宋体" w:hAnsi="宋体" w:cs="宋体"/>
                <w:kern w:val="0"/>
              </w:rPr>
              <w:t>（2）90%≤“三公”经费控制率≤100%的，得2分；</w:t>
            </w:r>
          </w:p>
          <w:p>
            <w:pPr>
              <w:widowControl/>
              <w:spacing w:line="24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“三公”经费控制率＞100%的，得0分。</w:t>
            </w:r>
            <w:r>
              <w:rPr>
                <w:rFonts w:ascii="宋体"/>
                <w:kern w:val="0"/>
              </w:rPr>
              <w:br w:type="textWrapping"/>
            </w:r>
            <w:r>
              <w:rPr>
                <w:rFonts w:ascii="宋体" w:hAnsi="宋体" w:cs="宋体"/>
                <w:kern w:val="0"/>
              </w:rPr>
              <w:t>2.</w:t>
            </w:r>
            <w:r>
              <w:rPr>
                <w:rFonts w:hint="eastAsia" w:ascii="宋体" w:hAnsi="宋体" w:cs="宋体"/>
                <w:kern w:val="0"/>
              </w:rPr>
              <w:t xml:space="preserve"> 日常公用经费控制率=日常公用经费决算数/日常公用经费调整预算数×</w:t>
            </w:r>
            <w:r>
              <w:rPr>
                <w:rFonts w:ascii="宋体" w:hAnsi="宋体" w:cs="宋体"/>
                <w:kern w:val="0"/>
              </w:rPr>
              <w:t>100%</w:t>
            </w:r>
          </w:p>
          <w:p>
            <w:pPr>
              <w:widowControl/>
              <w:spacing w:line="240" w:lineRule="exact"/>
              <w:ind w:firstLine="315" w:firstLineChars="150"/>
              <w:rPr>
                <w:rFonts w:ascii="宋体" w:hAnsi="宋体" w:cs="宋体"/>
                <w:kern w:val="0"/>
              </w:rPr>
            </w:pPr>
            <w:r>
              <w:rPr>
                <w:rFonts w:hint="eastAsia" w:ascii="宋体" w:cs="宋体"/>
                <w:kern w:val="0"/>
              </w:rPr>
              <w:t>（1）</w:t>
            </w:r>
            <w:r>
              <w:rPr>
                <w:rFonts w:hint="eastAsia" w:ascii="宋体" w:hAnsi="宋体" w:cs="宋体"/>
                <w:kern w:val="0"/>
              </w:rPr>
              <w:t>日常公用经费控制率＜90%的，得3分；</w:t>
            </w:r>
          </w:p>
          <w:p>
            <w:pPr>
              <w:widowControl/>
              <w:spacing w:line="240" w:lineRule="exact"/>
              <w:ind w:firstLine="315" w:firstLineChars="150"/>
              <w:rPr>
                <w:rFonts w:ascii="宋体" w:hAnsi="宋体" w:cs="宋体"/>
                <w:kern w:val="0"/>
              </w:rPr>
            </w:pPr>
            <w:r>
              <w:rPr>
                <w:rFonts w:hint="eastAsia" w:ascii="宋体" w:hAnsi="宋体" w:cs="宋体"/>
                <w:kern w:val="0"/>
              </w:rPr>
              <w:t>（2）90%≤日常公用经费控制率≤100%的，得2分；</w:t>
            </w:r>
          </w:p>
          <w:p>
            <w:pPr>
              <w:widowControl/>
              <w:spacing w:line="240" w:lineRule="exact"/>
              <w:ind w:firstLine="315" w:firstLineChars="150"/>
              <w:rPr>
                <w:rFonts w:ascii="宋体" w:hAnsi="宋体" w:cs="宋体"/>
                <w:kern w:val="0"/>
              </w:rPr>
            </w:pPr>
            <w:r>
              <w:rPr>
                <w:rFonts w:hint="eastAsia" w:ascii="宋体"/>
                <w:kern w:val="0"/>
              </w:rPr>
              <w:t>（3）</w:t>
            </w:r>
            <w:r>
              <w:rPr>
                <w:rFonts w:hint="eastAsia" w:ascii="宋体" w:hAnsi="宋体" w:cs="宋体"/>
                <w:kern w:val="0"/>
              </w:rPr>
              <w:t>日常公用经费控制率＞100%的，得0分。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w:t>
            </w:r>
          </w:p>
        </w:tc>
      </w:tr>
      <w:tr>
        <w:tblPrEx>
          <w:tblCellMar>
            <w:top w:w="0" w:type="dxa"/>
            <w:left w:w="108" w:type="dxa"/>
            <w:bottom w:w="0" w:type="dxa"/>
            <w:right w:w="108" w:type="dxa"/>
          </w:tblCellMar>
        </w:tblPrEx>
        <w:trPr>
          <w:trHeight w:val="228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single" w:color="auto" w:sz="4" w:space="0"/>
              <w:right w:val="single" w:color="auto" w:sz="4" w:space="0"/>
            </w:tcBorders>
            <w:vAlign w:val="center"/>
          </w:tcPr>
          <w:p>
            <w:pPr>
              <w:spacing w:line="320" w:lineRule="exact"/>
              <w:jc w:val="left"/>
              <w:rPr>
                <w:rFonts w:ascii="宋体"/>
                <w:kern w:val="0"/>
              </w:rPr>
            </w:pPr>
            <w:r>
              <w:rPr>
                <w:rFonts w:hint="eastAsia" w:ascii="宋体" w:hAnsi="宋体" w:cs="宋体"/>
                <w:kern w:val="0"/>
              </w:rPr>
              <w:t>效率性</w:t>
            </w:r>
          </w:p>
        </w:tc>
        <w:tc>
          <w:tcPr>
            <w:tcW w:w="915" w:type="dxa"/>
            <w:vMerge w:val="restart"/>
            <w:tcBorders>
              <w:top w:val="nil"/>
              <w:left w:val="single" w:color="auto" w:sz="4" w:space="0"/>
              <w:right w:val="single" w:color="auto" w:sz="4" w:space="0"/>
            </w:tcBorders>
            <w:vAlign w:val="center"/>
          </w:tcPr>
          <w:p>
            <w:pPr>
              <w:spacing w:line="320" w:lineRule="exact"/>
              <w:jc w:val="center"/>
              <w:rPr>
                <w:rFonts w:ascii="宋体"/>
                <w:kern w:val="0"/>
              </w:rPr>
            </w:pPr>
            <w:r>
              <w:rPr>
                <w:rFonts w:hint="eastAsia" w:ascii="宋体" w:hAnsi="宋体" w:cs="宋体"/>
                <w:kern w:val="0"/>
              </w:rPr>
              <w:t>20</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预算执行率</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6</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240" w:lineRule="exact"/>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240" w:lineRule="exact"/>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240" w:lineRule="exact"/>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240" w:lineRule="exact"/>
              <w:rPr>
                <w:rFonts w:ascii="宋体" w:hAnsi="宋体" w:cs="宋体"/>
                <w:kern w:val="0"/>
              </w:rPr>
            </w:pPr>
            <w:r>
              <w:rPr>
                <w:rFonts w:hint="eastAsia" w:ascii="宋体" w:hAnsi="宋体" w:cs="宋体"/>
                <w:kern w:val="0"/>
              </w:rPr>
              <w:t>5.全年平均支出进度得分</w:t>
            </w:r>
            <w:r>
              <w:rPr>
                <w:rFonts w:ascii="宋体" w:hAnsi="宋体" w:cs="宋体"/>
                <w:kern w:val="0"/>
              </w:rPr>
              <w:t>=</w:t>
            </w:r>
            <w:r>
              <w:rPr>
                <w:rFonts w:hint="eastAsia" w:ascii="宋体" w:hAnsi="宋体" w:cs="宋体"/>
                <w:kern w:val="0"/>
              </w:rPr>
              <w:t>全年平均执行率×2分</w:t>
            </w:r>
          </w:p>
          <w:p>
            <w:pPr>
              <w:widowControl/>
              <w:spacing w:line="240" w:lineRule="exact"/>
              <w:ind w:firstLine="405"/>
              <w:rPr>
                <w:rFonts w:ascii="宋体" w:hAnsi="宋体" w:cs="宋体"/>
                <w:kern w:val="0"/>
              </w:rPr>
            </w:pPr>
            <w:r>
              <w:rPr>
                <w:rFonts w:hint="eastAsia" w:ascii="宋体" w:hAnsi="宋体" w:cs="宋体"/>
                <w:kern w:val="0"/>
              </w:rPr>
              <w:t>其中：全年平均执行率</w:t>
            </w:r>
            <w:r>
              <w:rPr>
                <w:rFonts w:ascii="宋体" w:hAnsi="宋体" w:cs="宋体"/>
                <w:kern w:val="0"/>
              </w:rPr>
              <w:t>=</w:t>
            </w:r>
            <w:r>
              <w:rPr>
                <w:rFonts w:hint="eastAsia" w:ascii="宋体" w:hAnsi="宋体" w:cs="宋体"/>
                <w:kern w:val="0"/>
              </w:rPr>
              <w:t>∑（每个季度的执行率）÷</w:t>
            </w:r>
            <w:r>
              <w:rPr>
                <w:rFonts w:ascii="宋体" w:hAnsi="宋体" w:cs="宋体"/>
                <w:kern w:val="0"/>
              </w:rPr>
              <w:t>4</w:t>
            </w:r>
          </w:p>
          <w:p>
            <w:pPr>
              <w:widowControl/>
              <w:spacing w:line="240" w:lineRule="exact"/>
              <w:rPr>
                <w:rFonts w:ascii="宋体" w:hAnsi="宋体" w:cs="宋体"/>
                <w:kern w:val="0"/>
              </w:rPr>
            </w:pPr>
            <w:r>
              <w:rPr>
                <w:rFonts w:hint="eastAsia" w:ascii="宋体" w:hAnsi="宋体" w:cs="宋体"/>
                <w:kern w:val="0"/>
              </w:rPr>
              <w:t>季度支出进度=季度末月份累计支出进度（即3、6、9、12月月末支出进度）</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5.42</w:t>
            </w:r>
          </w:p>
        </w:tc>
      </w:tr>
      <w:tr>
        <w:tblPrEx>
          <w:tblCellMar>
            <w:top w:w="0" w:type="dxa"/>
            <w:left w:w="108" w:type="dxa"/>
            <w:bottom w:w="0" w:type="dxa"/>
            <w:right w:w="108" w:type="dxa"/>
          </w:tblCellMar>
        </w:tblPrEx>
        <w:trPr>
          <w:trHeight w:val="129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left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left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重点工作完成情况</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8</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重点工作是指中央和省、市相关部门、区委、区政府、区人大交办或下达的工作任务。全部按期保质保量完成得8分；一项重点工作没有完成扣4分，扣完为止。</w:t>
            </w:r>
          </w:p>
          <w:p>
            <w:pPr>
              <w:widowControl/>
              <w:spacing w:line="240" w:lineRule="exact"/>
              <w:rPr>
                <w:rFonts w:ascii="宋体"/>
                <w:kern w:val="0"/>
              </w:rPr>
            </w:pPr>
            <w:r>
              <w:rPr>
                <w:rFonts w:hint="eastAsia" w:ascii="宋体" w:hAnsi="宋体" w:cs="宋体"/>
                <w:kern w:val="0"/>
              </w:rPr>
              <w:t>注：重点工作完成情况可以参考区委区政府督查部门或其他权威部门的统计数据（如有）。</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8</w:t>
            </w:r>
          </w:p>
        </w:tc>
      </w:tr>
      <w:tr>
        <w:tblPrEx>
          <w:tblCellMar>
            <w:top w:w="0" w:type="dxa"/>
            <w:left w:w="108" w:type="dxa"/>
            <w:bottom w:w="0" w:type="dxa"/>
            <w:right w:w="108" w:type="dxa"/>
          </w:tblCellMar>
        </w:tblPrEx>
        <w:trPr>
          <w:trHeight w:val="112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项目完成及时性</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6</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kern w:val="0"/>
              </w:rPr>
            </w:pPr>
            <w:r>
              <w:rPr>
                <w:rFonts w:ascii="宋体" w:hAnsi="宋体" w:cs="宋体"/>
                <w:kern w:val="0"/>
              </w:rPr>
              <w:t>1.</w:t>
            </w:r>
            <w:r>
              <w:rPr>
                <w:rFonts w:hint="eastAsia" w:ascii="宋体" w:hAnsi="宋体" w:cs="宋体"/>
                <w:kern w:val="0"/>
              </w:rPr>
              <w:t>所有部门预算安排的项目均按计划时间完成（</w:t>
            </w:r>
            <w:r>
              <w:rPr>
                <w:rFonts w:ascii="宋体" w:hAnsi="宋体" w:cs="宋体"/>
                <w:kern w:val="0"/>
              </w:rPr>
              <w:t>6</w:t>
            </w:r>
            <w:r>
              <w:rPr>
                <w:rFonts w:hint="eastAsia" w:ascii="宋体" w:hAnsi="宋体" w:cs="宋体"/>
                <w:kern w:val="0"/>
              </w:rPr>
              <w:t>分）；</w:t>
            </w:r>
          </w:p>
          <w:p>
            <w:pPr>
              <w:widowControl/>
              <w:spacing w:line="240" w:lineRule="exact"/>
              <w:rPr>
                <w:rFonts w:ascii="宋体"/>
                <w:kern w:val="0"/>
              </w:rPr>
            </w:pPr>
            <w:r>
              <w:rPr>
                <w:rFonts w:ascii="宋体" w:hAnsi="宋体" w:cs="宋体"/>
                <w:kern w:val="0"/>
              </w:rPr>
              <w:t>2.</w:t>
            </w:r>
            <w:r>
              <w:rPr>
                <w:rFonts w:hint="eastAsia" w:ascii="宋体" w:hAnsi="宋体" w:cs="宋体"/>
                <w:kern w:val="0"/>
              </w:rPr>
              <w:t>部分项目未按计划时间完成的，本指标得分</w:t>
            </w:r>
            <w:r>
              <w:rPr>
                <w:rFonts w:ascii="宋体" w:hAnsi="宋体" w:cs="宋体"/>
                <w:kern w:val="0"/>
              </w:rPr>
              <w:t>=</w:t>
            </w:r>
            <w:r>
              <w:rPr>
                <w:rFonts w:hint="eastAsia" w:ascii="宋体" w:hAnsi="宋体" w:cs="宋体"/>
                <w:kern w:val="0"/>
              </w:rPr>
              <w:t>已完成项目数</w:t>
            </w:r>
            <w:r>
              <w:rPr>
                <w:rFonts w:ascii="宋体" w:hAnsi="宋体" w:cs="宋体"/>
                <w:kern w:val="0"/>
              </w:rPr>
              <w:t>/</w:t>
            </w:r>
            <w:r>
              <w:rPr>
                <w:rFonts w:hint="eastAsia" w:ascii="宋体" w:hAnsi="宋体" w:cs="宋体"/>
                <w:kern w:val="0"/>
              </w:rPr>
              <w:t>计划完成项目总数×</w:t>
            </w:r>
            <w:r>
              <w:rPr>
                <w:rFonts w:ascii="宋体" w:hAnsi="宋体" w:cs="宋体"/>
                <w:kern w:val="0"/>
              </w:rPr>
              <w:t>6</w:t>
            </w:r>
            <w:r>
              <w:rPr>
                <w:rFonts w:hint="eastAsia" w:ascii="宋体" w:hAnsi="宋体" w:cs="宋体"/>
                <w:kern w:val="0"/>
              </w:rPr>
              <w:t>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43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nil"/>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效果性</w:t>
            </w:r>
          </w:p>
        </w:tc>
        <w:tc>
          <w:tcPr>
            <w:tcW w:w="915" w:type="dxa"/>
            <w:vMerge w:val="restart"/>
            <w:tcBorders>
              <w:top w:val="nil"/>
              <w:left w:val="nil"/>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20</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rPr>
            </w:pPr>
            <w:r>
              <w:rPr>
                <w:rFonts w:hint="eastAsia" w:ascii="宋体" w:hAnsi="宋体" w:cs="宋体"/>
                <w:kern w:val="0"/>
              </w:rPr>
              <w:t>社会效益</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7</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加快落实人才引进，助力龙华区建设发展。（7分）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7</w:t>
            </w:r>
          </w:p>
        </w:tc>
      </w:tr>
      <w:tr>
        <w:tblPrEx>
          <w:tblCellMar>
            <w:top w:w="0" w:type="dxa"/>
            <w:left w:w="108" w:type="dxa"/>
            <w:bottom w:w="0" w:type="dxa"/>
            <w:right w:w="108" w:type="dxa"/>
          </w:tblCellMar>
        </w:tblPrEx>
        <w:trPr>
          <w:trHeight w:val="40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left w:val="nil"/>
              <w:right w:val="single" w:color="auto" w:sz="4" w:space="0"/>
            </w:tcBorders>
            <w:vAlign w:val="center"/>
          </w:tcPr>
          <w:p>
            <w:pPr>
              <w:widowControl/>
              <w:spacing w:line="320" w:lineRule="exact"/>
              <w:jc w:val="left"/>
              <w:rPr>
                <w:rFonts w:ascii="宋体" w:hAnsi="宋体" w:cs="宋体"/>
                <w:kern w:val="0"/>
              </w:rPr>
            </w:pPr>
          </w:p>
        </w:tc>
        <w:tc>
          <w:tcPr>
            <w:tcW w:w="915" w:type="dxa"/>
            <w:vMerge w:val="continue"/>
            <w:tcBorders>
              <w:left w:val="nil"/>
              <w:right w:val="single" w:color="auto" w:sz="4" w:space="0"/>
            </w:tcBorders>
            <w:vAlign w:val="center"/>
          </w:tcPr>
          <w:p>
            <w:pPr>
              <w:widowControl/>
              <w:spacing w:line="320" w:lineRule="exact"/>
              <w:jc w:val="center"/>
              <w:rPr>
                <w:rFonts w:ascii="宋体" w:hAnsi="宋体" w:cs="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rPr>
            </w:pPr>
            <w:r>
              <w:rPr>
                <w:rFonts w:hint="eastAsia" w:ascii="宋体" w:hAnsi="宋体" w:cs="宋体"/>
                <w:kern w:val="0"/>
              </w:rPr>
              <w:t>经济效益</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7</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持续改善全区就业形势，城镇登记失业率控制在3%以内。（7分）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7</w:t>
            </w:r>
          </w:p>
        </w:tc>
      </w:tr>
      <w:tr>
        <w:tblPrEx>
          <w:tblCellMar>
            <w:top w:w="0" w:type="dxa"/>
            <w:left w:w="108" w:type="dxa"/>
            <w:bottom w:w="0" w:type="dxa"/>
            <w:right w:w="108" w:type="dxa"/>
          </w:tblCellMar>
        </w:tblPrEx>
        <w:trPr>
          <w:trHeight w:val="500"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left w:val="nil"/>
              <w:bottom w:val="single" w:color="auto" w:sz="4" w:space="0"/>
              <w:right w:val="single" w:color="auto" w:sz="4" w:space="0"/>
            </w:tcBorders>
            <w:vAlign w:val="center"/>
          </w:tcPr>
          <w:p>
            <w:pPr>
              <w:widowControl/>
              <w:spacing w:line="320" w:lineRule="exact"/>
              <w:jc w:val="left"/>
              <w:rPr>
                <w:rFonts w:ascii="宋体" w:hAnsi="宋体" w:cs="宋体"/>
                <w:kern w:val="0"/>
              </w:rPr>
            </w:pPr>
          </w:p>
        </w:tc>
        <w:tc>
          <w:tcPr>
            <w:tcW w:w="915" w:type="dxa"/>
            <w:vMerge w:val="continue"/>
            <w:tcBorders>
              <w:left w:val="nil"/>
              <w:bottom w:val="single" w:color="auto" w:sz="4" w:space="0"/>
              <w:right w:val="single" w:color="auto" w:sz="4" w:space="0"/>
            </w:tcBorders>
            <w:vAlign w:val="center"/>
          </w:tcPr>
          <w:p>
            <w:pPr>
              <w:widowControl/>
              <w:spacing w:line="320" w:lineRule="exact"/>
              <w:jc w:val="center"/>
              <w:rPr>
                <w:rFonts w:ascii="宋体" w:hAnsi="宋体" w:cs="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rPr>
            </w:pPr>
            <w:r>
              <w:rPr>
                <w:rFonts w:hint="eastAsia" w:ascii="宋体" w:hAnsi="宋体" w:cs="宋体"/>
                <w:kern w:val="0"/>
              </w:rPr>
              <w:t>可持续影响</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6</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推进“龙舞华章计划”系列人才政策修订工作，完善人才政策“3+8+N”体系。（6分）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1384"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公平性</w:t>
            </w:r>
          </w:p>
        </w:tc>
        <w:tc>
          <w:tcPr>
            <w:tcW w:w="915"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9</w:t>
            </w: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群众信访办理情况</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1.建立了便利的群众意见反映渠道和群众意见办理回复机制（1分）；</w:t>
            </w:r>
          </w:p>
          <w:p>
            <w:pPr>
              <w:widowControl/>
              <w:spacing w:line="240" w:lineRule="exact"/>
              <w:rPr>
                <w:rFonts w:ascii="宋体" w:hAnsi="宋体" w:cs="宋体"/>
                <w:kern w:val="0"/>
              </w:rPr>
            </w:pPr>
            <w:r>
              <w:rPr>
                <w:rFonts w:hint="eastAsia" w:ascii="宋体" w:hAnsi="宋体" w:cs="宋体"/>
                <w:kern w:val="0"/>
              </w:rPr>
              <w:t>2.当年度群众信访办理回复率达100%（1分）；</w:t>
            </w:r>
          </w:p>
          <w:p>
            <w:pPr>
              <w:widowControl/>
              <w:spacing w:line="240" w:lineRule="exact"/>
              <w:rPr>
                <w:rFonts w:ascii="宋体" w:hAnsi="宋体" w:cs="宋体"/>
                <w:kern w:val="0"/>
              </w:rPr>
            </w:pPr>
            <w:r>
              <w:rPr>
                <w:rFonts w:hint="eastAsia" w:ascii="宋体" w:hAnsi="宋体" w:cs="宋体"/>
                <w:kern w:val="0"/>
              </w:rPr>
              <w:t>3.当年度群众信访及时办理回复率达100%，未发生超期（1分）。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3</w:t>
            </w:r>
          </w:p>
        </w:tc>
      </w:tr>
      <w:tr>
        <w:tblPrEx>
          <w:tblCellMar>
            <w:top w:w="0" w:type="dxa"/>
            <w:left w:w="108" w:type="dxa"/>
            <w:bottom w:w="0" w:type="dxa"/>
            <w:right w:w="108" w:type="dxa"/>
          </w:tblCellMar>
        </w:tblPrEx>
        <w:trPr>
          <w:trHeight w:val="2395" w:hRule="atLeast"/>
        </w:trPr>
        <w:tc>
          <w:tcPr>
            <w:tcW w:w="923"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1305" w:type="dxa"/>
            <w:tcBorders>
              <w:top w:val="nil"/>
              <w:left w:val="nil"/>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hAnsi="宋体" w:cs="宋体"/>
                <w:kern w:val="0"/>
              </w:rPr>
              <w:t>公众或服务对象满意度</w:t>
            </w:r>
          </w:p>
        </w:tc>
        <w:tc>
          <w:tcPr>
            <w:tcW w:w="82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hint="eastAsia" w:ascii="宋体" w:hAnsi="宋体" w:cs="宋体"/>
                <w:kern w:val="0"/>
              </w:rPr>
              <w:t>6</w:t>
            </w:r>
          </w:p>
        </w:tc>
        <w:tc>
          <w:tcPr>
            <w:tcW w:w="771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区统计部门的数据、年度区直民主评议政风行风评价结果等数据，或者参考群众信访反馈的普遍性问题、本部门或权威第三方机构的开展满意度调查等进行分档计分。</w:t>
            </w:r>
          </w:p>
          <w:p>
            <w:pPr>
              <w:widowControl/>
              <w:spacing w:line="240" w:lineRule="exact"/>
              <w:rPr>
                <w:rFonts w:ascii="宋体" w:hAnsi="宋体" w:cs="宋体"/>
                <w:kern w:val="0"/>
              </w:rPr>
            </w:pPr>
            <w:r>
              <w:rPr>
                <w:rFonts w:hint="eastAsia" w:ascii="宋体" w:hAnsi="宋体" w:cs="宋体"/>
                <w:kern w:val="0"/>
              </w:rPr>
              <w:t>1.满意度≥95%的，得6分；</w:t>
            </w:r>
          </w:p>
          <w:p>
            <w:pPr>
              <w:widowControl/>
              <w:spacing w:line="240" w:lineRule="exact"/>
              <w:rPr>
                <w:rFonts w:ascii="宋体" w:hAnsi="宋体" w:cs="宋体"/>
                <w:kern w:val="0"/>
              </w:rPr>
            </w:pPr>
            <w:r>
              <w:rPr>
                <w:rFonts w:hint="eastAsia" w:ascii="宋体"/>
                <w:kern w:val="0"/>
              </w:rPr>
              <w:t>2.</w:t>
            </w:r>
            <w:r>
              <w:rPr>
                <w:rFonts w:hint="eastAsia" w:ascii="宋体" w:hAnsi="宋体" w:cs="宋体"/>
                <w:kern w:val="0"/>
              </w:rPr>
              <w:t xml:space="preserve"> 90%≤满意度＜95%的，得4分；</w:t>
            </w:r>
          </w:p>
          <w:p>
            <w:pPr>
              <w:widowControl/>
              <w:spacing w:line="240" w:lineRule="exact"/>
              <w:rPr>
                <w:rFonts w:ascii="宋体" w:hAnsi="宋体" w:cs="宋体"/>
                <w:kern w:val="0"/>
              </w:rPr>
            </w:pPr>
            <w:r>
              <w:rPr>
                <w:rFonts w:hint="eastAsia" w:ascii="宋体" w:hAnsi="宋体" w:cs="宋体"/>
                <w:kern w:val="0"/>
              </w:rPr>
              <w:t>3. 80%≤满意度＜90%的，得2分；</w:t>
            </w:r>
          </w:p>
          <w:p>
            <w:pPr>
              <w:widowControl/>
              <w:spacing w:line="240" w:lineRule="exact"/>
              <w:rPr>
                <w:rFonts w:ascii="宋体"/>
                <w:kern w:val="0"/>
              </w:rPr>
            </w:pPr>
            <w:r>
              <w:rPr>
                <w:rFonts w:hint="eastAsia" w:ascii="宋体" w:hAnsi="宋体" w:cs="宋体"/>
                <w:kern w:val="0"/>
              </w:rPr>
              <w:t>4. 满意度＜80%的，得1分。</w:t>
            </w:r>
          </w:p>
        </w:tc>
        <w:tc>
          <w:tcPr>
            <w:tcW w:w="7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6</w:t>
            </w:r>
          </w:p>
        </w:tc>
      </w:tr>
      <w:tr>
        <w:tblPrEx>
          <w:tblCellMar>
            <w:top w:w="0" w:type="dxa"/>
            <w:left w:w="108" w:type="dxa"/>
            <w:bottom w:w="0" w:type="dxa"/>
            <w:right w:w="108" w:type="dxa"/>
          </w:tblCellMar>
        </w:tblPrEx>
        <w:trPr>
          <w:trHeight w:val="585" w:hRule="atLeast"/>
        </w:trPr>
        <w:tc>
          <w:tcPr>
            <w:tcW w:w="92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kern w:val="0"/>
              </w:rPr>
              <w:t>合计</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kern w:val="0"/>
              </w:rPr>
              <w:t>100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kern w:val="0"/>
              </w:rPr>
              <w:t>100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rPr>
            </w:pPr>
            <w:r>
              <w:rPr>
                <w:rFonts w:hint="eastAsia" w:ascii="宋体" w:hAnsi="宋体" w:cs="宋体"/>
                <w:kern w:val="0"/>
              </w:rPr>
              <w:t>100</w:t>
            </w:r>
          </w:p>
        </w:tc>
        <w:tc>
          <w:tcPr>
            <w:tcW w:w="77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rPr>
            </w:pPr>
            <w:r>
              <w:rPr>
                <w:rFonts w:hint="eastAsia" w:ascii="宋体" w:hAnsi="宋体" w:cs="宋体"/>
                <w:kern w:val="0"/>
              </w:rPr>
              <w:t>96.41</w:t>
            </w:r>
          </w:p>
        </w:tc>
      </w:tr>
    </w:tbl>
    <w:p>
      <w:pPr>
        <w:rPr>
          <w:b/>
          <w:bCs/>
        </w:rPr>
      </w:pPr>
      <w:r>
        <w:rPr>
          <w:rFonts w:hint="eastAsia"/>
          <w:b/>
          <w:bCs/>
        </w:rPr>
        <w:t>附注：1.本表列示的各项指标为整体支出绩效评价共性指标，各单位可根据实际情况，增加能够更好反映评价对象业务特点的个性指标、删减不涉及的指标或对共性指标进行明确和细化。</w:t>
      </w:r>
    </w:p>
    <w:p>
      <w:pPr>
        <w:ind w:firstLine="630" w:firstLineChars="300"/>
        <w:rPr>
          <w:b/>
          <w:bCs/>
        </w:rPr>
      </w:pPr>
      <w:r>
        <w:rPr>
          <w:rFonts w:hint="eastAsia"/>
          <w:b/>
          <w:bCs/>
        </w:rPr>
        <w:t>2.各项指标的分值是参考分值，各单位在开展绩效评价时可结合不同评价对象的特点，赋予评价指标科学合理的权重分值。</w:t>
      </w:r>
    </w:p>
    <w:p>
      <w:pPr>
        <w:rPr>
          <w:sz w:val="18"/>
          <w:szCs w:val="18"/>
        </w:rPr>
      </w:pPr>
    </w:p>
    <w:sectPr>
      <w:footerReference r:id="rId5"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- 17 -</w:t>
    </w:r>
    <w:r>
      <w:rPr>
        <w:rStyle w:val="15"/>
        <w:rFonts w:ascii="宋体" w:hAnsi="宋体"/>
        <w:sz w:val="28"/>
        <w:szCs w:val="28"/>
      </w:rPr>
      <w:fldChar w:fldCharType="end"/>
    </w:r>
  </w:p>
  <w:p>
    <w:pPr>
      <w:pStyle w:val="8"/>
      <w:ind w:right="360" w:firstLine="360"/>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- 17 -</w:t>
    </w:r>
    <w:r>
      <w:rPr>
        <w:rStyle w:val="15"/>
        <w:rFonts w:ascii="宋体" w:hAnsi="宋体"/>
        <w:sz w:val="28"/>
        <w:szCs w:val="28"/>
      </w:rPr>
      <w:fldChar w:fldCharType="end"/>
    </w:r>
  </w:p>
  <w:p>
    <w:pPr>
      <w:pStyle w:val="8"/>
      <w:ind w:right="360" w:firstLine="360"/>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B7896"/>
    <w:multiLevelType w:val="singleLevel"/>
    <w:tmpl w:val="B50B7896"/>
    <w:lvl w:ilvl="0" w:tentative="0">
      <w:start w:val="3"/>
      <w:numFmt w:val="chineseCounting"/>
      <w:suff w:val="nothing"/>
      <w:lvlText w:val="%1、"/>
      <w:lvlJc w:val="left"/>
      <w:pPr>
        <w:ind w:left="787" w:firstLine="0"/>
      </w:pPr>
      <w:rPr>
        <w:rFonts w:hint="eastAsia"/>
      </w:rPr>
    </w:lvl>
  </w:abstractNum>
  <w:abstractNum w:abstractNumId="1">
    <w:nsid w:val="24B5DBEF"/>
    <w:multiLevelType w:val="singleLevel"/>
    <w:tmpl w:val="24B5DBEF"/>
    <w:lvl w:ilvl="0" w:tentative="0">
      <w:start w:val="1"/>
      <w:numFmt w:val="decimal"/>
      <w:lvlText w:val="%1."/>
      <w:lvlJc w:val="left"/>
      <w:pPr>
        <w:tabs>
          <w:tab w:val="left" w:pos="312"/>
        </w:tabs>
      </w:pPr>
    </w:lvl>
  </w:abstractNum>
  <w:abstractNum w:abstractNumId="2">
    <w:nsid w:val="67E8E1AA"/>
    <w:multiLevelType w:val="singleLevel"/>
    <w:tmpl w:val="67E8E1AA"/>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8D"/>
    <w:rsid w:val="00015287"/>
    <w:rsid w:val="000470AE"/>
    <w:rsid w:val="000579EF"/>
    <w:rsid w:val="000757DF"/>
    <w:rsid w:val="000A0E67"/>
    <w:rsid w:val="000C1693"/>
    <w:rsid w:val="000C7F39"/>
    <w:rsid w:val="000D5ECC"/>
    <w:rsid w:val="0011557C"/>
    <w:rsid w:val="00152184"/>
    <w:rsid w:val="00156F7B"/>
    <w:rsid w:val="00186083"/>
    <w:rsid w:val="001A4FCA"/>
    <w:rsid w:val="001E1A5E"/>
    <w:rsid w:val="001E702E"/>
    <w:rsid w:val="001F5AA4"/>
    <w:rsid w:val="00235966"/>
    <w:rsid w:val="002A7700"/>
    <w:rsid w:val="002E0FBC"/>
    <w:rsid w:val="00323B8D"/>
    <w:rsid w:val="0033262F"/>
    <w:rsid w:val="003577C2"/>
    <w:rsid w:val="00382649"/>
    <w:rsid w:val="00394B68"/>
    <w:rsid w:val="003B1900"/>
    <w:rsid w:val="003D5362"/>
    <w:rsid w:val="003F34FF"/>
    <w:rsid w:val="003F3BCB"/>
    <w:rsid w:val="004111E4"/>
    <w:rsid w:val="0042503E"/>
    <w:rsid w:val="00431E89"/>
    <w:rsid w:val="00447BDD"/>
    <w:rsid w:val="004A3245"/>
    <w:rsid w:val="004B47F6"/>
    <w:rsid w:val="004E13DD"/>
    <w:rsid w:val="00534B21"/>
    <w:rsid w:val="00567EEA"/>
    <w:rsid w:val="0058344B"/>
    <w:rsid w:val="005A7B7C"/>
    <w:rsid w:val="005C047F"/>
    <w:rsid w:val="005C793D"/>
    <w:rsid w:val="005D6FD8"/>
    <w:rsid w:val="006668F7"/>
    <w:rsid w:val="00670E00"/>
    <w:rsid w:val="006A08E5"/>
    <w:rsid w:val="006A0B18"/>
    <w:rsid w:val="006E2C6E"/>
    <w:rsid w:val="006F0724"/>
    <w:rsid w:val="00796A73"/>
    <w:rsid w:val="007B1093"/>
    <w:rsid w:val="007C6A8D"/>
    <w:rsid w:val="007C77C0"/>
    <w:rsid w:val="007E03B1"/>
    <w:rsid w:val="007E16C0"/>
    <w:rsid w:val="007E5816"/>
    <w:rsid w:val="007F11FC"/>
    <w:rsid w:val="0085384E"/>
    <w:rsid w:val="00866D4F"/>
    <w:rsid w:val="00886EBB"/>
    <w:rsid w:val="008C01DD"/>
    <w:rsid w:val="008C5E9F"/>
    <w:rsid w:val="008D3C34"/>
    <w:rsid w:val="009058EA"/>
    <w:rsid w:val="00907B9F"/>
    <w:rsid w:val="00916EE3"/>
    <w:rsid w:val="009254A3"/>
    <w:rsid w:val="009374E9"/>
    <w:rsid w:val="0094704A"/>
    <w:rsid w:val="009803FA"/>
    <w:rsid w:val="009B6BB4"/>
    <w:rsid w:val="00A327AA"/>
    <w:rsid w:val="00A5233E"/>
    <w:rsid w:val="00AA07B4"/>
    <w:rsid w:val="00AA5338"/>
    <w:rsid w:val="00AC140F"/>
    <w:rsid w:val="00AD4C3B"/>
    <w:rsid w:val="00AD7537"/>
    <w:rsid w:val="00B012E2"/>
    <w:rsid w:val="00B04F30"/>
    <w:rsid w:val="00B16374"/>
    <w:rsid w:val="00B9050E"/>
    <w:rsid w:val="00BB7A05"/>
    <w:rsid w:val="00BD192D"/>
    <w:rsid w:val="00BF3B22"/>
    <w:rsid w:val="00C128DF"/>
    <w:rsid w:val="00C2157C"/>
    <w:rsid w:val="00C409C6"/>
    <w:rsid w:val="00C50D1B"/>
    <w:rsid w:val="00C51585"/>
    <w:rsid w:val="00C702B8"/>
    <w:rsid w:val="00CB6C81"/>
    <w:rsid w:val="00CB7FE9"/>
    <w:rsid w:val="00CC0E1B"/>
    <w:rsid w:val="00CC7C71"/>
    <w:rsid w:val="00CD69A4"/>
    <w:rsid w:val="00D02BD3"/>
    <w:rsid w:val="00D50E3A"/>
    <w:rsid w:val="00D86FE6"/>
    <w:rsid w:val="00DC002F"/>
    <w:rsid w:val="00DD1293"/>
    <w:rsid w:val="00E61598"/>
    <w:rsid w:val="00E975EF"/>
    <w:rsid w:val="00F05CC5"/>
    <w:rsid w:val="00F22364"/>
    <w:rsid w:val="00F85BCF"/>
    <w:rsid w:val="00FA665A"/>
    <w:rsid w:val="07E70CBC"/>
    <w:rsid w:val="094B5D89"/>
    <w:rsid w:val="0DC66494"/>
    <w:rsid w:val="118C0435"/>
    <w:rsid w:val="119B107B"/>
    <w:rsid w:val="12746D2E"/>
    <w:rsid w:val="13287B43"/>
    <w:rsid w:val="15244F46"/>
    <w:rsid w:val="156902B8"/>
    <w:rsid w:val="1D264F92"/>
    <w:rsid w:val="1EE660CB"/>
    <w:rsid w:val="2303614B"/>
    <w:rsid w:val="25FC4156"/>
    <w:rsid w:val="27DD54AD"/>
    <w:rsid w:val="2D0F23C7"/>
    <w:rsid w:val="320C3DE2"/>
    <w:rsid w:val="3329187A"/>
    <w:rsid w:val="383E2798"/>
    <w:rsid w:val="3B990435"/>
    <w:rsid w:val="3BE82A69"/>
    <w:rsid w:val="440E6EE2"/>
    <w:rsid w:val="4A712AC7"/>
    <w:rsid w:val="4B4D3461"/>
    <w:rsid w:val="4D327D8F"/>
    <w:rsid w:val="58AE439D"/>
    <w:rsid w:val="592759D4"/>
    <w:rsid w:val="5A9572B4"/>
    <w:rsid w:val="5B1A4861"/>
    <w:rsid w:val="5FC61912"/>
    <w:rsid w:val="66420C45"/>
    <w:rsid w:val="70796871"/>
    <w:rsid w:val="74956336"/>
    <w:rsid w:val="749776B4"/>
    <w:rsid w:val="767B4FE7"/>
    <w:rsid w:val="769A7806"/>
    <w:rsid w:val="77A23694"/>
    <w:rsid w:val="FFE2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annotation text"/>
    <w:basedOn w:val="1"/>
    <w:link w:val="21"/>
    <w:semiHidden/>
    <w:unhideWhenUsed/>
    <w:qFormat/>
    <w:uiPriority w:val="99"/>
    <w:pPr>
      <w:jc w:val="left"/>
    </w:pPr>
  </w:style>
  <w:style w:type="paragraph" w:styleId="6">
    <w:name w:val="Body Text Indent"/>
    <w:basedOn w:val="1"/>
    <w:qFormat/>
    <w:uiPriority w:val="0"/>
    <w:pPr>
      <w:spacing w:line="560" w:lineRule="atLeast"/>
      <w:ind w:firstLine="620"/>
    </w:pPr>
    <w:rPr>
      <w:rFonts w:ascii="Calibri" w:hAnsi="Calibri" w:eastAsia="仿宋_GB2312" w:cs="Calibri"/>
      <w:sz w:val="32"/>
      <w:szCs w:val="32"/>
    </w:rPr>
  </w:style>
  <w:style w:type="paragraph" w:styleId="7">
    <w:name w:val="Balloon Text"/>
    <w:basedOn w:val="1"/>
    <w:link w:val="17"/>
    <w:semiHidden/>
    <w:unhideWhenUsed/>
    <w:qFormat/>
    <w:uiPriority w:val="99"/>
    <w:rPr>
      <w:sz w:val="18"/>
      <w:szCs w:val="18"/>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paragraph" w:styleId="11">
    <w:name w:val="Body Text First Indent"/>
    <w:basedOn w:val="2"/>
    <w:qFormat/>
    <w:uiPriority w:val="0"/>
    <w:pPr>
      <w:ind w:firstLine="420" w:firstLineChars="100"/>
    </w:pPr>
    <w:rPr>
      <w:sz w:val="20"/>
      <w:szCs w:val="20"/>
    </w:rPr>
  </w:style>
  <w:style w:type="paragraph" w:styleId="12">
    <w:name w:val="Body Text First Indent 2"/>
    <w:basedOn w:val="6"/>
    <w:qFormat/>
    <w:uiPriority w:val="0"/>
    <w:pPr>
      <w:ind w:firstLine="420" w:firstLineChars="200"/>
    </w:pPr>
    <w:rPr>
      <w:rFonts w:ascii="Times New Roman" w:hAnsi="Times New Roman" w:cs="Times New Roman"/>
    </w:r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7">
    <w:name w:val="批注框文本 字符"/>
    <w:basedOn w:val="14"/>
    <w:link w:val="7"/>
    <w:semiHidden/>
    <w:qFormat/>
    <w:uiPriority w:val="99"/>
    <w:rPr>
      <w:rFonts w:ascii="Times New Roman" w:hAnsi="Times New Roman" w:eastAsia="宋体" w:cs="Times New Roman"/>
      <w:sz w:val="18"/>
      <w:szCs w:val="18"/>
    </w:rPr>
  </w:style>
  <w:style w:type="character" w:customStyle="1" w:styleId="18">
    <w:name w:val="页眉 字符"/>
    <w:basedOn w:val="14"/>
    <w:link w:val="9"/>
    <w:semiHidden/>
    <w:qFormat/>
    <w:uiPriority w:val="99"/>
    <w:rPr>
      <w:rFonts w:ascii="Times New Roman" w:hAnsi="Times New Roman" w:eastAsia="宋体" w:cs="Times New Roman"/>
      <w:sz w:val="18"/>
      <w:szCs w:val="18"/>
    </w:rPr>
  </w:style>
  <w:style w:type="character" w:customStyle="1" w:styleId="19">
    <w:name w:val="页脚 字符"/>
    <w:basedOn w:val="14"/>
    <w:link w:val="8"/>
    <w:semiHidden/>
    <w:qFormat/>
    <w:uiPriority w:val="99"/>
    <w:rPr>
      <w:rFonts w:ascii="Times New Roman" w:hAnsi="Times New Roman" w:eastAsia="宋体" w:cs="Times New Roman"/>
      <w:sz w:val="18"/>
      <w:szCs w:val="18"/>
    </w:rPr>
  </w:style>
  <w:style w:type="character" w:customStyle="1" w:styleId="20">
    <w:name w:val="NormalCharacter"/>
    <w:qFormat/>
    <w:uiPriority w:val="0"/>
    <w:rPr>
      <w:rFonts w:ascii="Times New Roman" w:hAnsi="Times New Roman" w:eastAsia="宋体" w:cs="Times New Roman"/>
      <w:kern w:val="2"/>
      <w:sz w:val="21"/>
      <w:szCs w:val="24"/>
      <w:lang w:val="en-US" w:eastAsia="zh-CN" w:bidi="ar-SA"/>
    </w:rPr>
  </w:style>
  <w:style w:type="character" w:customStyle="1" w:styleId="21">
    <w:name w:val="批注文字 字符"/>
    <w:basedOn w:val="14"/>
    <w:link w:val="5"/>
    <w:semiHidden/>
    <w:qFormat/>
    <w:uiPriority w:val="99"/>
    <w:rPr>
      <w:kern w:val="2"/>
      <w:sz w:val="21"/>
      <w:szCs w:val="24"/>
    </w:rPr>
  </w:style>
  <w:style w:type="character" w:customStyle="1" w:styleId="22">
    <w:name w:val="批注主题 字符"/>
    <w:basedOn w:val="21"/>
    <w:link w:val="10"/>
    <w:semiHidden/>
    <w:qFormat/>
    <w:uiPriority w:val="99"/>
    <w:rPr>
      <w:b/>
      <w:bCs/>
      <w:kern w:val="2"/>
      <w:sz w:val="21"/>
      <w:szCs w:val="24"/>
    </w:rPr>
  </w:style>
  <w:style w:type="paragraph" w:customStyle="1" w:styleId="23">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1493</Words>
  <Characters>8513</Characters>
  <Lines>70</Lines>
  <Paragraphs>19</Paragraphs>
  <TotalTime>156</TotalTime>
  <ScaleCrop>false</ScaleCrop>
  <LinksUpToDate>false</LinksUpToDate>
  <CharactersWithSpaces>9987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2019-03-07T11:34:00Z</dcterms:created>
  <dc:creator>桂鑫</dc:creator>
  <cp:lastModifiedBy>Administrator</cp:lastModifiedBy>
  <dcterms:modified xsi:type="dcterms:W3CDTF">2023-08-16T10:41:08Z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061FA0EE1B854421A5DCAC37781CA9A7</vt:lpwstr>
  </property>
</Properties>
</file>