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华光简小标宋" w:eastAsia="方正小标宋简体" w:cs="华光简小标宋"/>
          <w:bCs/>
          <w:sz w:val="44"/>
          <w:szCs w:val="44"/>
        </w:rPr>
      </w:pPr>
      <w:r>
        <w:rPr>
          <w:rFonts w:hint="eastAsia" w:ascii="方正小标宋简体" w:hAnsi="华光简小标宋" w:eastAsia="方正小标宋简体" w:cs="华光简小标宋"/>
          <w:bCs/>
          <w:sz w:val="44"/>
          <w:szCs w:val="44"/>
        </w:rPr>
        <w:t>龙华区科技创新专项资金2019-2022绩效评价工作需求书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一、项目概述</w:t>
      </w:r>
      <w:r>
        <w:rPr>
          <w:rFonts w:hint="eastAsia" w:ascii="黑体" w:hAnsi="黑体" w:eastAsia="黑体" w:cs="仿宋_GB2312"/>
          <w:sz w:val="32"/>
          <w:szCs w:val="32"/>
          <w:lang w:eastAsia="zh-CN"/>
        </w:rPr>
        <w:t>及需求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20" w:firstLineChars="200"/>
        <w:jc w:val="both"/>
        <w:textAlignment w:val="auto"/>
        <w:rPr>
          <w:rFonts w:hint="eastAsia" w:ascii="仿宋_GB2312" w:hAnsi="仿宋_GB2312" w:eastAsia="仿宋_GB2312" w:cs="仿宋_GB2312"/>
          <w:b w:val="0"/>
          <w:bCs w:val="0"/>
          <w:sz w:val="32"/>
          <w:szCs w:val="32"/>
        </w:rPr>
      </w:pPr>
      <w:r>
        <w:rPr>
          <w:rFonts w:hint="eastAsia" w:ascii="仿宋_GB2312" w:hAnsi="宋体" w:eastAsia="仿宋_GB2312" w:cs="仿宋_GB2312"/>
          <w:color w:val="000000"/>
          <w:kern w:val="0"/>
          <w:sz w:val="31"/>
          <w:szCs w:val="31"/>
          <w:lang w:val="en-US" w:eastAsia="zh-CN" w:bidi="ar"/>
        </w:rPr>
        <w:t>根据</w:t>
      </w:r>
      <w:r>
        <w:rPr>
          <w:rFonts w:hint="eastAsia" w:ascii="仿宋_GB2312" w:hAnsi="宋体" w:eastAsia="仿宋_GB2312" w:cs="仿宋_GB2312"/>
          <w:color w:val="000000"/>
          <w:kern w:val="0"/>
          <w:sz w:val="32"/>
          <w:szCs w:val="32"/>
          <w:highlight w:val="none"/>
          <w:lang w:val="en-US" w:eastAsia="zh-CN" w:bidi="ar"/>
        </w:rPr>
        <w:t>《龙华区级财政专项资金管理办法》（</w:t>
      </w:r>
      <w:r>
        <w:rPr>
          <w:rFonts w:ascii="仿宋_GB2312" w:hAnsi="宋体" w:eastAsia="仿宋_GB2312" w:cs="仿宋_GB2312"/>
          <w:color w:val="000000"/>
          <w:kern w:val="0"/>
          <w:sz w:val="31"/>
          <w:szCs w:val="31"/>
          <w:highlight w:val="none"/>
          <w:lang w:val="en-US" w:eastAsia="zh-CN" w:bidi="ar"/>
        </w:rPr>
        <w:t>深龙华府规〔2021〕10 号</w:t>
      </w:r>
      <w:r>
        <w:rPr>
          <w:rFonts w:hint="eastAsia" w:ascii="仿宋_GB2312" w:hAnsi="宋体" w:eastAsia="仿宋_GB2312" w:cs="仿宋_GB2312"/>
          <w:color w:val="000000"/>
          <w:kern w:val="0"/>
          <w:sz w:val="32"/>
          <w:szCs w:val="32"/>
          <w:highlight w:val="none"/>
          <w:lang w:val="en-US" w:eastAsia="zh-CN" w:bidi="ar"/>
        </w:rPr>
        <w:t>）</w:t>
      </w:r>
      <w:r>
        <w:rPr>
          <w:rFonts w:hint="eastAsia" w:ascii="仿宋_GB2312" w:hAnsi="宋体" w:eastAsia="仿宋_GB2312" w:cs="仿宋_GB2312"/>
          <w:color w:val="000000"/>
          <w:kern w:val="0"/>
          <w:sz w:val="31"/>
          <w:szCs w:val="31"/>
          <w:lang w:val="en-US" w:eastAsia="zh-CN" w:bidi="ar"/>
        </w:rPr>
        <w:t>等文件相关要求，</w:t>
      </w:r>
      <w:r>
        <w:rPr>
          <w:rFonts w:ascii="仿宋_GB2312" w:hAnsi="宋体" w:eastAsia="仿宋_GB2312" w:cs="仿宋_GB2312"/>
          <w:color w:val="000000"/>
          <w:kern w:val="0"/>
          <w:sz w:val="31"/>
          <w:szCs w:val="31"/>
          <w:lang w:val="en-US" w:eastAsia="zh-CN" w:bidi="ar"/>
        </w:rPr>
        <w:t>为切实了解区科技创新政策的实施情况和效果，进一步</w:t>
      </w:r>
      <w:r>
        <w:rPr>
          <w:rFonts w:hint="eastAsia" w:ascii="仿宋_GB2312" w:hAnsi="宋体" w:eastAsia="仿宋_GB2312" w:cs="仿宋_GB2312"/>
          <w:color w:val="000000"/>
          <w:kern w:val="0"/>
          <w:sz w:val="31"/>
          <w:szCs w:val="31"/>
          <w:lang w:val="en-US" w:eastAsia="zh-CN" w:bidi="ar"/>
        </w:rPr>
        <w:t>加强财政支出管理，提高财政资金使用效益，</w:t>
      </w:r>
      <w:r>
        <w:rPr>
          <w:rFonts w:hint="eastAsia" w:ascii="仿宋_GB2312" w:hAnsi="仿宋_GB2312" w:eastAsia="仿宋_GB2312" w:cs="仿宋_GB2312"/>
          <w:b w:val="0"/>
          <w:bCs w:val="0"/>
          <w:sz w:val="32"/>
          <w:szCs w:val="32"/>
          <w:lang w:eastAsia="zh-CN"/>
        </w:rPr>
        <w:t>现</w:t>
      </w:r>
      <w:r>
        <w:rPr>
          <w:rFonts w:hint="eastAsia" w:ascii="仿宋_GB2312" w:hAnsi="仿宋_GB2312" w:eastAsia="仿宋_GB2312" w:cs="仿宋_GB2312"/>
          <w:b w:val="0"/>
          <w:bCs w:val="0"/>
          <w:sz w:val="32"/>
          <w:szCs w:val="32"/>
        </w:rPr>
        <w:t>征集具有</w:t>
      </w:r>
      <w:r>
        <w:rPr>
          <w:rFonts w:hint="eastAsia" w:ascii="仿宋_GB2312" w:hAnsi="仿宋_GB2312" w:eastAsia="仿宋_GB2312" w:cs="仿宋_GB2312"/>
          <w:b w:val="0"/>
          <w:bCs w:val="0"/>
          <w:sz w:val="32"/>
          <w:szCs w:val="32"/>
          <w:lang w:eastAsia="zh-CN"/>
        </w:rPr>
        <w:t>相关</w:t>
      </w:r>
      <w:r>
        <w:rPr>
          <w:rFonts w:hint="eastAsia" w:ascii="仿宋_GB2312" w:hAnsi="仿宋_GB2312" w:eastAsia="仿宋_GB2312" w:cs="仿宋_GB2312"/>
          <w:b w:val="0"/>
          <w:bCs w:val="0"/>
          <w:sz w:val="32"/>
          <w:szCs w:val="32"/>
        </w:rPr>
        <w:t>资质和经验的专业机构</w:t>
      </w:r>
      <w:r>
        <w:rPr>
          <w:rFonts w:hint="eastAsia" w:ascii="仿宋_GB2312" w:hAnsi="仿宋_GB2312" w:eastAsia="仿宋_GB2312" w:cs="仿宋_GB2312"/>
          <w:b w:val="0"/>
          <w:bCs w:val="0"/>
          <w:sz w:val="32"/>
          <w:szCs w:val="32"/>
          <w:lang w:eastAsia="zh-CN"/>
        </w:rPr>
        <w:t>对</w:t>
      </w:r>
      <w:r>
        <w:rPr>
          <w:rFonts w:hint="eastAsia" w:ascii="仿宋_GB2312" w:hAnsi="仿宋_GB2312" w:eastAsia="仿宋_GB2312" w:cs="仿宋_GB2312"/>
          <w:b w:val="0"/>
          <w:bCs w:val="0"/>
          <w:sz w:val="32"/>
          <w:szCs w:val="32"/>
          <w:lang w:val="en-US" w:eastAsia="zh-CN"/>
        </w:rPr>
        <w:t>2019-2022年龙华区科技创新专项资金使用情况</w:t>
      </w:r>
      <w:r>
        <w:rPr>
          <w:rFonts w:hint="eastAsia" w:ascii="仿宋_GB2312" w:hAnsi="仿宋_GB2312" w:eastAsia="仿宋_GB2312" w:cs="仿宋_GB2312"/>
          <w:b w:val="0"/>
          <w:bCs w:val="0"/>
          <w:sz w:val="32"/>
          <w:szCs w:val="32"/>
          <w:lang w:eastAsia="zh-CN"/>
        </w:rPr>
        <w:t>进行</w:t>
      </w:r>
      <w:r>
        <w:rPr>
          <w:rFonts w:hint="eastAsia" w:ascii="仿宋_GB2312" w:hAnsi="仿宋_GB2312" w:eastAsia="仿宋_GB2312" w:cs="仿宋_GB2312"/>
          <w:b w:val="0"/>
          <w:bCs w:val="0"/>
          <w:sz w:val="32"/>
          <w:szCs w:val="32"/>
        </w:rPr>
        <w:t>绩效评价工作</w:t>
      </w:r>
      <w:r>
        <w:rPr>
          <w:rFonts w:hint="eastAsia" w:ascii="仿宋_GB2312" w:hAnsi="仿宋_GB2312" w:eastAsia="仿宋_GB2312" w:cs="仿宋_GB2312"/>
          <w:b w:val="0"/>
          <w:bCs w:val="0"/>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、需求实现方式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对2019至2022年度龙华区科技创新专项资金开展绩效评价，</w:t>
      </w:r>
      <w:r>
        <w:rPr>
          <w:rFonts w:hint="eastAsia" w:ascii="仿宋_GB2312" w:hAnsi="仿宋_GB2312" w:eastAsia="仿宋_GB2312" w:cs="仿宋_GB2312"/>
          <w:b w:val="0"/>
          <w:bCs w:val="0"/>
          <w:color w:val="000000"/>
          <w:kern w:val="0"/>
          <w:sz w:val="32"/>
          <w:szCs w:val="32"/>
          <w:lang w:val="en-US" w:eastAsia="zh-CN" w:bidi="ar"/>
        </w:rPr>
        <w:t>通过宏观、中观、微观角度，分别对产业发展规划、政策措施、资金结构、专项资金重点政策实施效果、项目办理流程规范性进行评价，提出政策及操作流程优化建议，最终</w:t>
      </w:r>
      <w:r>
        <w:rPr>
          <w:rFonts w:hint="eastAsia" w:ascii="仿宋_GB2312" w:hAnsi="仿宋_GB2312" w:eastAsia="仿宋_GB2312" w:cs="仿宋_GB2312"/>
          <w:sz w:val="32"/>
          <w:szCs w:val="32"/>
          <w:lang w:val="en-US" w:eastAsia="zh-CN"/>
        </w:rPr>
        <w:t>形成《2019-2022年度科技创新专项资金绩效报告》及《重点项目绩效评价报告》</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、商务要求</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楷体_GB2312" w:hAnsi="楷体_GB2312" w:eastAsia="楷体_GB2312" w:cs="楷体_GB2312"/>
          <w:sz w:val="32"/>
          <w:szCs w:val="32"/>
        </w:rPr>
      </w:pPr>
      <w:r>
        <w:rPr>
          <w:rFonts w:hint="eastAsia" w:ascii="楷体_GB2312" w:hAnsi="楷体_GB2312" w:eastAsia="楷体_GB2312" w:cs="楷体_GB2312"/>
          <w:bCs/>
          <w:sz w:val="32"/>
          <w:szCs w:val="32"/>
        </w:rPr>
        <w:t xml:space="preserve">（一）项目工期及实施时间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仿宋_GB2312" w:cs="黑体"/>
          <w:sz w:val="32"/>
          <w:szCs w:val="32"/>
          <w:lang w:eastAsia="zh-CN"/>
        </w:rPr>
      </w:pPr>
      <w:r>
        <w:rPr>
          <w:rFonts w:hint="eastAsia" w:ascii="仿宋_GB2312" w:hAnsi="黑体" w:eastAsia="仿宋_GB2312" w:cs="黑体"/>
          <w:sz w:val="32"/>
          <w:szCs w:val="32"/>
        </w:rPr>
        <w:t>项目实施周期</w:t>
      </w:r>
      <w:r>
        <w:rPr>
          <w:rFonts w:hint="eastAsia" w:ascii="仿宋_GB2312" w:hAnsi="黑体" w:eastAsia="仿宋_GB2312" w:cs="黑体"/>
          <w:sz w:val="32"/>
          <w:szCs w:val="32"/>
          <w:lang w:eastAsia="zh-CN"/>
        </w:rPr>
        <w:t>约</w:t>
      </w:r>
      <w:r>
        <w:rPr>
          <w:rFonts w:hint="eastAsia" w:ascii="仿宋_GB2312" w:hAnsi="黑体" w:eastAsia="仿宋_GB2312" w:cs="黑体"/>
          <w:sz w:val="32"/>
          <w:szCs w:val="32"/>
          <w:lang w:val="en-US" w:eastAsia="zh-CN"/>
        </w:rPr>
        <w:t>90</w:t>
      </w:r>
      <w:r>
        <w:rPr>
          <w:rFonts w:hint="eastAsia" w:ascii="仿宋_GB2312" w:hAnsi="黑体" w:eastAsia="仿宋_GB2312" w:cs="黑体"/>
          <w:sz w:val="32"/>
          <w:szCs w:val="32"/>
        </w:rPr>
        <w:t>天</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主要</w:t>
      </w:r>
      <w:r>
        <w:rPr>
          <w:rFonts w:hint="eastAsia" w:ascii="仿宋_GB2312" w:hAnsi="黑体" w:eastAsia="仿宋_GB2312" w:cs="黑体"/>
          <w:sz w:val="32"/>
          <w:szCs w:val="32"/>
          <w:lang w:eastAsia="zh-CN"/>
        </w:rPr>
        <w:t>步骤包括：制定实施方案、了解项目背景及情况、梳理项目实施流程、了解项目执行状况、现场评价计划汇报、编制绩效体系、收集资料、现场评价、材料汇总、出具初稿及定稿</w:t>
      </w:r>
      <w:r>
        <w:rPr>
          <w:rFonts w:hint="eastAsia" w:ascii="仿宋_GB2312" w:hAnsi="黑体" w:eastAsia="仿宋_GB2312" w:cs="黑体"/>
          <w:sz w:val="32"/>
          <w:szCs w:val="32"/>
        </w:rPr>
        <w:t>等内容</w:t>
      </w:r>
      <w:r>
        <w:rPr>
          <w:rFonts w:hint="eastAsia" w:ascii="仿宋_GB2312" w:hAnsi="黑体" w:eastAsia="仿宋_GB2312" w:cs="黑体"/>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（二）付款方式</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olor w:val="000000"/>
          <w:sz w:val="32"/>
          <w:szCs w:val="32"/>
          <w:lang w:val="en" w:eastAsia="zh-CN"/>
        </w:rPr>
      </w:pPr>
      <w:r>
        <w:rPr>
          <w:rFonts w:hint="eastAsia" w:ascii="仿宋_GB2312" w:hAnsi="宋体" w:eastAsia="仿宋_GB2312"/>
          <w:color w:val="000000"/>
          <w:sz w:val="32"/>
          <w:szCs w:val="32"/>
        </w:rPr>
        <w:t>我局与最终选定的服务商</w:t>
      </w:r>
      <w:r>
        <w:rPr>
          <w:rFonts w:hint="eastAsia" w:ascii="仿宋_GB2312" w:hAnsi="宋体" w:eastAsia="仿宋_GB2312"/>
          <w:color w:val="000000"/>
          <w:sz w:val="32"/>
          <w:szCs w:val="32"/>
          <w:lang w:eastAsia="zh-CN"/>
        </w:rPr>
        <w:t>根据如下方式进行费用结算：</w:t>
      </w:r>
      <w:r>
        <w:rPr>
          <w:rFonts w:hint="eastAsia" w:ascii="仿宋_GB2312" w:eastAsia="仿宋_GB2312"/>
          <w:sz w:val="32"/>
          <w:szCs w:val="32"/>
          <w:lang w:val="en-US" w:eastAsia="zh-CN"/>
        </w:rPr>
        <w:t>费用分两期支付，</w:t>
      </w:r>
      <w:r>
        <w:rPr>
          <w:rFonts w:hint="eastAsia" w:ascii="仿宋_GB2312" w:hAnsi="宋体" w:eastAsia="仿宋_GB2312"/>
          <w:color w:val="000000"/>
          <w:sz w:val="32"/>
          <w:szCs w:val="32"/>
          <w:lang w:eastAsia="zh-CN"/>
        </w:rPr>
        <w:t>合同签</w:t>
      </w:r>
      <w:r>
        <w:rPr>
          <w:rFonts w:hint="eastAsia" w:ascii="仿宋_GB2312" w:hAnsi="宋体" w:eastAsia="仿宋_GB2312"/>
          <w:color w:val="auto"/>
          <w:sz w:val="32"/>
          <w:szCs w:val="32"/>
          <w:lang w:eastAsia="zh-CN"/>
        </w:rPr>
        <w:t>订后支</w:t>
      </w:r>
      <w:r>
        <w:rPr>
          <w:rFonts w:hint="eastAsia" w:ascii="仿宋_GB2312" w:hAnsi="宋体" w:eastAsia="仿宋_GB2312"/>
          <w:color w:val="000000"/>
          <w:sz w:val="32"/>
          <w:szCs w:val="32"/>
          <w:lang w:eastAsia="zh-CN"/>
        </w:rPr>
        <w:t>付合同总金额的</w:t>
      </w:r>
      <w:r>
        <w:rPr>
          <w:rFonts w:hint="eastAsia" w:ascii="仿宋_GB2312" w:hAnsi="宋体" w:eastAsia="仿宋_GB2312"/>
          <w:color w:val="000000"/>
          <w:sz w:val="32"/>
          <w:szCs w:val="32"/>
          <w:lang w:val="en-US" w:eastAsia="zh-CN"/>
        </w:rPr>
        <w:t>50</w:t>
      </w:r>
      <w:r>
        <w:rPr>
          <w:rFonts w:hint="eastAsia" w:ascii="仿宋_GB2312" w:hAnsi="宋体" w:eastAsia="仿宋_GB2312"/>
          <w:color w:val="000000"/>
          <w:sz w:val="32"/>
          <w:szCs w:val="32"/>
          <w:lang w:val="en" w:eastAsia="zh-CN"/>
        </w:rPr>
        <w:t>％，验收合格后支付合同尾款</w:t>
      </w:r>
      <w:r>
        <w:rPr>
          <w:rFonts w:hint="eastAsia" w:ascii="仿宋_GB2312" w:hAnsi="宋体" w:eastAsia="仿宋_GB2312"/>
          <w:color w:val="000000"/>
          <w:sz w:val="32"/>
          <w:szCs w:val="32"/>
          <w:lang w:val="en-US" w:eastAsia="zh-CN"/>
        </w:rPr>
        <w:t>50</w:t>
      </w:r>
      <w:r>
        <w:rPr>
          <w:rFonts w:hint="eastAsia" w:ascii="仿宋_GB2312" w:hAnsi="宋体" w:eastAsia="仿宋_GB2312"/>
          <w:color w:val="000000"/>
          <w:sz w:val="32"/>
          <w:szCs w:val="32"/>
          <w:lang w:val="en" w:eastAsia="zh-CN"/>
        </w:rPr>
        <w:t>％。</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我局按区财政国库支付程序办理费用的相关支付手续，项目服务商应在付款前提供合法等额增值税普通发票。</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）报价要求</w:t>
      </w:r>
    </w:p>
    <w:p>
      <w:pPr>
        <w:pStyle w:val="1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本项目控制总金额为人民币</w:t>
      </w:r>
      <w:r>
        <w:rPr>
          <w:rFonts w:hint="eastAsia" w:ascii="仿宋_GB2312" w:hAnsi="宋体" w:eastAsia="仿宋_GB2312"/>
          <w:color w:val="000000"/>
          <w:sz w:val="32"/>
          <w:szCs w:val="32"/>
          <w:lang w:val="en-US" w:eastAsia="zh-CN"/>
        </w:rPr>
        <w:t>33.86</w:t>
      </w:r>
      <w:r>
        <w:rPr>
          <w:rFonts w:hint="eastAsia" w:ascii="仿宋_GB2312" w:hAnsi="仿宋_GB2312" w:eastAsia="仿宋_GB2312" w:cs="仿宋_GB2312"/>
          <w:color w:val="000000"/>
          <w:kern w:val="0"/>
          <w:sz w:val="32"/>
          <w:szCs w:val="32"/>
        </w:rPr>
        <w:t>万元（含税）</w:t>
      </w:r>
      <w:r>
        <w:rPr>
          <w:rFonts w:hint="eastAsia" w:ascii="仿宋_GB2312" w:hAnsi="宋体" w:eastAsia="仿宋_GB2312"/>
          <w:color w:val="000000"/>
          <w:sz w:val="32"/>
          <w:szCs w:val="32"/>
        </w:rPr>
        <w:t>，超过本预算控制总金额的报价将作无效处理。</w:t>
      </w:r>
    </w:p>
    <w:p>
      <w:pPr>
        <w:pStyle w:val="1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其他要求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需安排不少于</w:t>
      </w:r>
      <w:r>
        <w:rPr>
          <w:rFonts w:hint="eastAsia" w:ascii="仿宋_GB2312" w:hAnsi="宋体" w:eastAsia="仿宋_GB2312"/>
          <w:color w:val="000000"/>
          <w:sz w:val="32"/>
          <w:szCs w:val="32"/>
          <w:lang w:val="en-US" w:eastAsia="zh-CN"/>
        </w:rPr>
        <w:t>6人参与实施本项目。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四</w:t>
      </w:r>
      <w:r>
        <w:rPr>
          <w:rFonts w:hint="eastAsia" w:ascii="黑体" w:hAnsi="黑体" w:eastAsia="黑体" w:cs="仿宋_GB2312"/>
          <w:bCs/>
          <w:color w:val="000000"/>
          <w:sz w:val="32"/>
          <w:szCs w:val="32"/>
        </w:rPr>
        <w:t>、评分要求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（一）服务商资格要求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1.申请服务商必须是在中华人民共和国境内注册，并具有独立法人资格。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b w:val="0"/>
          <w:bCs w:val="0"/>
          <w:color w:val="000000"/>
          <w:kern w:val="0"/>
          <w:sz w:val="32"/>
          <w:szCs w:val="32"/>
          <w:highlight w:val="none"/>
          <w:lang w:val="en-US" w:eastAsia="zh-CN"/>
        </w:rPr>
        <w:t>2.</w:t>
      </w:r>
      <w:r>
        <w:rPr>
          <w:rFonts w:hint="eastAsia" w:ascii="仿宋_GB2312" w:hAnsi="宋体" w:eastAsia="仿宋_GB2312" w:cs="宋体"/>
          <w:color w:val="000000"/>
          <w:kern w:val="0"/>
          <w:sz w:val="32"/>
          <w:szCs w:val="32"/>
        </w:rPr>
        <w:t>本项目不允许联合体报价。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（二）项目评分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1.报价评分，以本次申请服务商所报的有效报价中的最低价作为基准报价。申请服务商报价得分=（基准报价/申请服务商报价）*20。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2.采取综合评分标准，总分最高的申请服务商为本项目选定的服务商。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仿宋_GB2312"/>
          <w:b w:val="0"/>
          <w:bCs/>
          <w:color w:val="000000"/>
          <w:sz w:val="32"/>
          <w:szCs w:val="32"/>
        </w:rPr>
      </w:pPr>
      <w:r>
        <w:rPr>
          <w:rFonts w:hint="eastAsia" w:ascii="黑体" w:hAnsi="黑体" w:eastAsia="黑体" w:cs="仿宋_GB2312"/>
          <w:b w:val="0"/>
          <w:bCs/>
          <w:color w:val="000000"/>
          <w:sz w:val="32"/>
          <w:szCs w:val="32"/>
          <w:lang w:eastAsia="zh-CN"/>
        </w:rPr>
        <w:t>五</w:t>
      </w:r>
      <w:r>
        <w:rPr>
          <w:rFonts w:hint="eastAsia" w:ascii="黑体" w:hAnsi="黑体" w:eastAsia="黑体" w:cs="仿宋_GB2312"/>
          <w:b w:val="0"/>
          <w:bCs/>
          <w:color w:val="000000"/>
          <w:sz w:val="32"/>
          <w:szCs w:val="32"/>
        </w:rPr>
        <w:t>、申请服务商需提供的材料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1.</w:t>
      </w:r>
      <w:r>
        <w:rPr>
          <w:rFonts w:hint="eastAsia" w:ascii="仿宋_GB2312" w:hAnsi="仿宋_GB2312" w:eastAsia="仿宋_GB2312" w:cs="仿宋_GB2312"/>
          <w:b w:val="0"/>
          <w:bCs/>
          <w:sz w:val="32"/>
          <w:szCs w:val="32"/>
        </w:rPr>
        <w:t>营业执照加盖单位公章、经营范围（业务范围）加盖单位公章。</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Calibri" w:eastAsia="仿宋_GB2312"/>
          <w:b w:val="0"/>
          <w:color w:val="000000"/>
          <w:sz w:val="32"/>
          <w:szCs w:val="32"/>
        </w:rPr>
      </w:pPr>
      <w:r>
        <w:rPr>
          <w:rFonts w:hint="eastAsia" w:ascii="仿宋_GB2312" w:hAnsi="Calibri" w:eastAsia="仿宋_GB2312"/>
          <w:b w:val="0"/>
          <w:color w:val="000000"/>
          <w:sz w:val="32"/>
          <w:szCs w:val="32"/>
          <w:lang w:val="en-US" w:eastAsia="zh-CN"/>
        </w:rPr>
        <w:t>2.</w:t>
      </w:r>
      <w:r>
        <w:rPr>
          <w:rFonts w:hint="eastAsia" w:ascii="仿宋_GB2312" w:hAnsi="Calibri" w:eastAsia="仿宋_GB2312"/>
          <w:b w:val="0"/>
          <w:color w:val="000000"/>
          <w:sz w:val="32"/>
          <w:szCs w:val="32"/>
        </w:rPr>
        <w:t>根据评分权重表要求准备相关材料，且每项材料均需单独加盖单位公章。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仿宋_GB2312"/>
          <w:bCs/>
          <w:color w:val="000000"/>
          <w:sz w:val="32"/>
          <w:szCs w:val="32"/>
        </w:rPr>
      </w:pPr>
      <w:r>
        <w:rPr>
          <w:rFonts w:hint="eastAsia" w:ascii="黑体" w:hAnsi="黑体" w:eastAsia="黑体" w:cs="仿宋_GB2312"/>
          <w:bCs/>
          <w:color w:val="000000"/>
          <w:sz w:val="32"/>
          <w:szCs w:val="32"/>
          <w:lang w:eastAsia="zh-CN"/>
        </w:rPr>
        <w:t>六、</w:t>
      </w:r>
      <w:r>
        <w:rPr>
          <w:rFonts w:hint="eastAsia" w:ascii="黑体" w:hAnsi="黑体" w:eastAsia="黑体" w:cs="仿宋_GB2312"/>
          <w:bCs/>
          <w:color w:val="000000"/>
          <w:sz w:val="32"/>
          <w:szCs w:val="32"/>
        </w:rPr>
        <w:t>评</w:t>
      </w:r>
      <w:r>
        <w:rPr>
          <w:rFonts w:hint="eastAsia" w:ascii="黑体" w:hAnsi="黑体" w:eastAsia="黑体" w:cs="仿宋_GB2312"/>
          <w:bCs/>
          <w:color w:val="000000"/>
          <w:sz w:val="32"/>
          <w:szCs w:val="32"/>
          <w:lang w:eastAsia="zh-CN"/>
        </w:rPr>
        <w:t>分</w:t>
      </w:r>
      <w:r>
        <w:rPr>
          <w:rFonts w:hint="eastAsia" w:ascii="黑体" w:hAnsi="黑体" w:eastAsia="黑体" w:cs="仿宋_GB2312"/>
          <w:bCs/>
          <w:color w:val="000000"/>
          <w:sz w:val="32"/>
          <w:szCs w:val="32"/>
        </w:rPr>
        <w:t>标准（评分权重表）</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5659"/>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b w:val="0"/>
                <w:bCs w:val="0"/>
                <w:color w:val="000000"/>
                <w:sz w:val="28"/>
                <w:vertAlign w:val="baseline"/>
                <w:lang w:val="en-US" w:eastAsia="zh-CN"/>
              </w:rPr>
            </w:pPr>
            <w:r>
              <w:rPr>
                <w:rFonts w:hint="eastAsia" w:ascii="黑体" w:hAnsi="黑体" w:eastAsia="黑体"/>
                <w:b w:val="0"/>
                <w:bCs w:val="0"/>
                <w:color w:val="000000"/>
                <w:sz w:val="28"/>
                <w:vertAlign w:val="baseline"/>
                <w:lang w:val="en-US" w:eastAsia="zh-CN"/>
              </w:rPr>
              <w:t>评审分项</w:t>
            </w:r>
          </w:p>
        </w:tc>
        <w:tc>
          <w:tcPr>
            <w:tcW w:w="3124" w:type="pct"/>
          </w:tcPr>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b w:val="0"/>
                <w:bCs w:val="0"/>
                <w:color w:val="000000"/>
                <w:sz w:val="28"/>
                <w:vertAlign w:val="baseline"/>
                <w:lang w:val="en-US" w:eastAsia="zh-CN"/>
              </w:rPr>
            </w:pPr>
            <w:r>
              <w:rPr>
                <w:rFonts w:hint="eastAsia" w:ascii="黑体" w:hAnsi="黑体" w:eastAsia="黑体"/>
                <w:b w:val="0"/>
                <w:bCs w:val="0"/>
                <w:color w:val="000000"/>
                <w:sz w:val="28"/>
                <w:vertAlign w:val="baseline"/>
                <w:lang w:val="en-US" w:eastAsia="zh-CN"/>
              </w:rPr>
              <w:t>评审明细</w:t>
            </w:r>
          </w:p>
        </w:tc>
        <w:tc>
          <w:tcPr>
            <w:tcW w:w="990" w:type="pct"/>
          </w:tcPr>
          <w:p>
            <w:pPr>
              <w:pStyle w:val="13"/>
              <w:keepNext w:val="0"/>
              <w:keepLines w:val="0"/>
              <w:pageBreakBefore w:val="0"/>
              <w:numPr>
                <w:ilvl w:val="0"/>
                <w:numId w:val="0"/>
              </w:numPr>
              <w:kinsoku/>
              <w:wordWrap/>
              <w:overflowPunct/>
              <w:topLinePunct w:val="0"/>
              <w:autoSpaceDE/>
              <w:autoSpaceDN/>
              <w:bidi w:val="0"/>
              <w:adjustRightInd/>
              <w:spacing w:beforeAutospacing="0" w:afterAutospacing="0" w:line="560" w:lineRule="exact"/>
              <w:jc w:val="both"/>
              <w:textAlignment w:val="auto"/>
              <w:rPr>
                <w:rFonts w:hint="eastAsia" w:ascii="黑体" w:hAnsi="黑体" w:eastAsia="黑体"/>
                <w:b w:val="0"/>
                <w:bCs w:val="0"/>
                <w:color w:val="000000"/>
                <w:sz w:val="28"/>
                <w:vertAlign w:val="baseline"/>
                <w:lang w:val="en-US" w:eastAsia="zh-CN"/>
              </w:rPr>
            </w:pPr>
            <w:r>
              <w:rPr>
                <w:rFonts w:hint="eastAsia" w:ascii="黑体" w:hAnsi="黑体" w:eastAsia="黑体"/>
                <w:b w:val="0"/>
                <w:bCs w:val="0"/>
                <w:color w:val="000000"/>
                <w:sz w:val="28"/>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4"/>
                <w:szCs w:val="24"/>
              </w:rPr>
            </w:pPr>
            <w:r>
              <w:rPr>
                <w:rFonts w:hint="eastAsia" w:ascii="楷体_GB2312" w:hAnsi="楷体_GB2312" w:eastAsia="楷体_GB2312" w:cs="楷体_GB2312"/>
                <w:b w:val="0"/>
                <w:bCs w:val="0"/>
                <w:color w:val="000000"/>
                <w:sz w:val="24"/>
                <w:szCs w:val="24"/>
              </w:rPr>
              <w:t>诚信情况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8"/>
                <w:vertAlign w:val="baseline"/>
                <w:lang w:val="en-US" w:eastAsia="zh-CN"/>
              </w:rPr>
            </w:pPr>
            <w:r>
              <w:rPr>
                <w:rFonts w:hint="eastAsia" w:ascii="楷体_GB2312" w:hAnsi="楷体_GB2312" w:eastAsia="楷体_GB2312" w:cs="楷体_GB2312"/>
                <w:b w:val="0"/>
                <w:bCs w:val="0"/>
                <w:color w:val="000000"/>
                <w:sz w:val="24"/>
                <w:szCs w:val="24"/>
              </w:rPr>
              <w:t>（</w:t>
            </w:r>
            <w:r>
              <w:rPr>
                <w:rFonts w:hint="eastAsia" w:ascii="楷体_GB2312" w:hAnsi="楷体_GB2312" w:eastAsia="楷体_GB2312" w:cs="楷体_GB2312"/>
                <w:b w:val="0"/>
                <w:bCs w:val="0"/>
                <w:color w:val="000000"/>
                <w:sz w:val="24"/>
                <w:szCs w:val="24"/>
                <w:lang w:val="en-US" w:eastAsia="zh-CN"/>
              </w:rPr>
              <w:t>5</w:t>
            </w:r>
            <w:r>
              <w:rPr>
                <w:rFonts w:hint="eastAsia" w:ascii="楷体_GB2312" w:hAnsi="楷体_GB2312" w:eastAsia="楷体_GB2312" w:cs="楷体_GB2312"/>
                <w:b w:val="0"/>
                <w:bCs w:val="0"/>
                <w:color w:val="000000"/>
                <w:sz w:val="24"/>
                <w:szCs w:val="24"/>
              </w:rPr>
              <w:t>分）</w:t>
            </w:r>
          </w:p>
        </w:tc>
        <w:tc>
          <w:tcPr>
            <w:tcW w:w="3124"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b w:val="0"/>
                <w:color w:val="000000"/>
                <w:sz w:val="28"/>
                <w:vertAlign w:val="baseline"/>
                <w:lang w:val="en-US" w:eastAsia="zh-CN"/>
              </w:rPr>
            </w:pPr>
            <w:r>
              <w:rPr>
                <w:rFonts w:hint="eastAsia" w:ascii="宋体" w:hAnsi="宋体"/>
                <w:color w:val="000000"/>
                <w:szCs w:val="21"/>
              </w:rPr>
              <w:t>申请服务商在参与政府采购活动中出现诚信相关问题且在相关主管部门处理措施实施期间内的本项不得分，否则得满分。</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b w:val="0"/>
                <w:color w:val="000000"/>
                <w:sz w:val="28"/>
                <w:vertAlign w:val="baseline"/>
                <w:lang w:val="en-US" w:eastAsia="zh-CN"/>
              </w:rPr>
            </w:pPr>
            <w:r>
              <w:rPr>
                <w:rFonts w:hint="eastAsia" w:ascii="宋体" w:hAnsi="宋体"/>
                <w:color w:val="000000"/>
                <w:szCs w:val="21"/>
              </w:rPr>
              <w:t>须提供《诚信承诺函》加盖</w:t>
            </w:r>
            <w:r>
              <w:rPr>
                <w:rFonts w:hint="eastAsia" w:ascii="宋体" w:hAnsi="宋体"/>
                <w:color w:val="000000"/>
                <w:szCs w:val="21"/>
                <w:lang w:val="en-US" w:eastAsia="zh-CN"/>
              </w:rPr>
              <w:t>申请服务商</w:t>
            </w:r>
            <w:r>
              <w:rPr>
                <w:rFonts w:hint="eastAsia" w:ascii="宋体" w:hAnsi="宋体"/>
                <w:color w:val="000000"/>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4"/>
                <w:szCs w:val="24"/>
              </w:rPr>
            </w:pPr>
            <w:r>
              <w:rPr>
                <w:rFonts w:hint="eastAsia" w:ascii="楷体_GB2312" w:hAnsi="楷体_GB2312" w:eastAsia="楷体_GB2312" w:cs="楷体_GB2312"/>
                <w:b w:val="0"/>
                <w:bCs w:val="0"/>
                <w:color w:val="000000"/>
                <w:sz w:val="24"/>
                <w:szCs w:val="24"/>
                <w:lang w:eastAsia="zh-CN"/>
              </w:rPr>
              <w:t>纳税</w:t>
            </w:r>
            <w:r>
              <w:rPr>
                <w:rFonts w:hint="eastAsia" w:ascii="楷体_GB2312" w:hAnsi="楷体_GB2312" w:eastAsia="楷体_GB2312" w:cs="楷体_GB2312"/>
                <w:b w:val="0"/>
                <w:bCs w:val="0"/>
                <w:color w:val="000000"/>
                <w:sz w:val="24"/>
                <w:szCs w:val="24"/>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8"/>
                <w:vertAlign w:val="baseline"/>
                <w:lang w:val="en-US" w:eastAsia="zh-CN"/>
              </w:rPr>
            </w:pPr>
            <w:r>
              <w:rPr>
                <w:rFonts w:hint="eastAsia" w:ascii="楷体_GB2312" w:hAnsi="楷体_GB2312" w:eastAsia="楷体_GB2312" w:cs="楷体_GB2312"/>
                <w:b w:val="0"/>
                <w:bCs w:val="0"/>
                <w:color w:val="000000"/>
                <w:sz w:val="24"/>
                <w:szCs w:val="24"/>
              </w:rPr>
              <w:t>（</w:t>
            </w:r>
            <w:r>
              <w:rPr>
                <w:rFonts w:hint="eastAsia" w:ascii="楷体_GB2312" w:hAnsi="楷体_GB2312" w:eastAsia="楷体_GB2312" w:cs="楷体_GB2312"/>
                <w:b w:val="0"/>
                <w:bCs w:val="0"/>
                <w:color w:val="000000"/>
                <w:sz w:val="24"/>
                <w:szCs w:val="24"/>
                <w:lang w:val="en-US" w:eastAsia="zh-CN"/>
              </w:rPr>
              <w:t>5</w:t>
            </w:r>
            <w:r>
              <w:rPr>
                <w:rFonts w:hint="eastAsia" w:ascii="楷体_GB2312" w:hAnsi="楷体_GB2312" w:eastAsia="楷体_GB2312" w:cs="楷体_GB2312"/>
                <w:b w:val="0"/>
                <w:bCs w:val="0"/>
                <w:color w:val="000000"/>
                <w:sz w:val="24"/>
                <w:szCs w:val="24"/>
              </w:rPr>
              <w:t>分）</w:t>
            </w:r>
          </w:p>
        </w:tc>
        <w:tc>
          <w:tcPr>
            <w:tcW w:w="3124"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olor w:val="000000"/>
                <w:szCs w:val="21"/>
                <w:lang w:val="en" w:eastAsia="zh-CN"/>
              </w:rPr>
            </w:pPr>
            <w:r>
              <w:rPr>
                <w:rFonts w:hint="eastAsia" w:ascii="宋体" w:hAnsi="宋体"/>
                <w:color w:val="000000"/>
                <w:szCs w:val="21"/>
                <w:lang w:eastAsia="zh-CN"/>
              </w:rPr>
              <w:t>根据服务商提供的</w:t>
            </w:r>
            <w:r>
              <w:rPr>
                <w:rFonts w:hint="eastAsia" w:ascii="宋体" w:hAnsi="宋体"/>
                <w:color w:val="000000"/>
                <w:szCs w:val="21"/>
                <w:lang w:val="en-US" w:eastAsia="zh-CN"/>
              </w:rPr>
              <w:t>2021年1月至2023年最近1个月（2021年后成立的，可提供从成立之日起至2023年最近一个月）注册地纳税情况进行打分，无不良情况得满分，否则不得分。</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default" w:ascii="宋体" w:hAnsi="宋体" w:eastAsia="宋体"/>
                <w:color w:val="000000"/>
                <w:szCs w:val="21"/>
                <w:lang w:val="en-US" w:eastAsia="zh-CN"/>
              </w:rPr>
            </w:pPr>
            <w:r>
              <w:rPr>
                <w:rFonts w:hint="eastAsia" w:ascii="宋体" w:hAnsi="宋体"/>
                <w:color w:val="000000"/>
                <w:szCs w:val="21"/>
              </w:rPr>
              <w:t>提供缴税证明</w:t>
            </w:r>
            <w:r>
              <w:rPr>
                <w:rFonts w:hint="eastAsia" w:ascii="宋体" w:hAnsi="宋体"/>
                <w:color w:val="000000"/>
                <w:szCs w:val="21"/>
                <w:lang w:eastAsia="zh-CN"/>
              </w:rPr>
              <w:t>文件</w:t>
            </w:r>
            <w:r>
              <w:rPr>
                <w:rFonts w:hint="eastAsia" w:ascii="宋体" w:hAnsi="宋体"/>
                <w:color w:val="000000"/>
                <w:szCs w:val="21"/>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4"/>
                <w:szCs w:val="24"/>
                <w:lang w:val="en-US" w:eastAsia="zh-CN"/>
              </w:rPr>
            </w:pPr>
            <w:r>
              <w:rPr>
                <w:rFonts w:hint="eastAsia" w:ascii="楷体_GB2312" w:hAnsi="楷体_GB2312" w:eastAsia="楷体_GB2312" w:cs="楷体_GB2312"/>
                <w:b w:val="0"/>
                <w:bCs w:val="0"/>
                <w:color w:val="000000"/>
                <w:sz w:val="24"/>
                <w:szCs w:val="24"/>
                <w:lang w:val="en-US" w:eastAsia="zh-CN"/>
              </w:rPr>
              <w:t>团队情况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8"/>
                <w:vertAlign w:val="baseline"/>
                <w:lang w:val="en-US" w:eastAsia="zh-CN"/>
              </w:rPr>
            </w:pPr>
            <w:r>
              <w:rPr>
                <w:rFonts w:hint="eastAsia" w:ascii="楷体_GB2312" w:hAnsi="楷体_GB2312" w:eastAsia="楷体_GB2312" w:cs="楷体_GB2312"/>
                <w:b w:val="0"/>
                <w:bCs w:val="0"/>
                <w:color w:val="000000"/>
                <w:sz w:val="24"/>
                <w:szCs w:val="24"/>
                <w:lang w:val="en-US" w:eastAsia="zh-CN"/>
              </w:rPr>
              <w:t>（15分）</w:t>
            </w:r>
          </w:p>
        </w:tc>
        <w:tc>
          <w:tcPr>
            <w:tcW w:w="312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s="宋体"/>
                <w:color w:val="auto"/>
                <w:szCs w:val="21"/>
                <w:lang w:val="en-US" w:eastAsia="zh-CN"/>
              </w:rPr>
            </w:pPr>
            <w:r>
              <w:rPr>
                <w:rFonts w:hint="eastAsia" w:ascii="宋体" w:hAnsi="宋体" w:cs="宋体"/>
                <w:color w:val="000000"/>
                <w:szCs w:val="21"/>
                <w:lang w:val="en-US" w:eastAsia="zh-CN"/>
              </w:rPr>
              <w:t>项目负责人（5分）：</w:t>
            </w:r>
            <w:r>
              <w:rPr>
                <w:rFonts w:hint="eastAsia" w:ascii="宋体" w:hAnsi="宋体" w:cs="宋体"/>
                <w:color w:val="auto"/>
                <w:szCs w:val="21"/>
                <w:lang w:val="en-US" w:eastAsia="zh-CN"/>
              </w:rPr>
              <w:t>1、具有博士学历、高级职称、注册会计师资格的，得5分；2、具有中级职称或绩效评价师（CPEP），得3分；3、无中级或注册会计师职称的不得分。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项目组成员（5分）：1、项目组成员具有博士学历、高级职称、注册会计师资格的，得5分；2、具有中级职称或绩效评价师（CPEP），得3分；3、无中级或注册会计师职称的不得分。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default" w:ascii="宋体" w:hAnsi="宋体" w:cs="宋体"/>
                <w:color w:val="000000"/>
                <w:szCs w:val="21"/>
                <w:lang w:val="en-US" w:eastAsia="zh-CN"/>
              </w:rPr>
            </w:pPr>
            <w:r>
              <w:rPr>
                <w:rFonts w:hint="eastAsia" w:ascii="宋体" w:hAnsi="宋体" w:cs="宋体"/>
                <w:color w:val="auto"/>
                <w:szCs w:val="21"/>
                <w:lang w:val="en-US" w:eastAsia="zh-CN"/>
              </w:rPr>
              <w:t>本项最高得分15分。</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b w:val="0"/>
                <w:color w:val="000000"/>
                <w:sz w:val="28"/>
                <w:vertAlign w:val="baseline"/>
                <w:lang w:val="en-US" w:eastAsia="zh-CN"/>
              </w:rPr>
            </w:pPr>
            <w:r>
              <w:rPr>
                <w:rFonts w:hint="eastAsia" w:ascii="宋体" w:hAnsi="宋体"/>
                <w:color w:val="000000"/>
                <w:szCs w:val="21"/>
                <w:lang w:val="en-US" w:eastAsia="zh-CN"/>
              </w:rPr>
              <w:t>提供相关证明文件复印件以及承诺函（加盖公章）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kern w:val="2"/>
                <w:sz w:val="28"/>
                <w:szCs w:val="22"/>
                <w:vertAlign w:val="baseline"/>
                <w:lang w:val="en-US" w:eastAsia="zh-CN" w:bidi="ar-SA"/>
              </w:rPr>
            </w:pPr>
            <w:r>
              <w:rPr>
                <w:rFonts w:hint="eastAsia" w:ascii="楷体_GB2312" w:hAnsi="楷体_GB2312" w:eastAsia="楷体_GB2312" w:cs="楷体_GB2312"/>
                <w:b w:val="0"/>
                <w:bCs w:val="0"/>
                <w:color w:val="000000"/>
                <w:sz w:val="24"/>
                <w:szCs w:val="24"/>
                <w:lang w:val="en-US" w:eastAsia="zh-CN"/>
              </w:rPr>
              <w:t>实施方案（35分）</w:t>
            </w:r>
          </w:p>
        </w:tc>
        <w:tc>
          <w:tcPr>
            <w:tcW w:w="312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项目实施流程（包括但不限于指标建立、时间安排、研究方法等），最高15分；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s="宋体"/>
                <w:color w:val="000000"/>
                <w:szCs w:val="21"/>
                <w:lang w:val="en-US" w:eastAsia="zh-CN"/>
              </w:rPr>
            </w:pPr>
            <w:r>
              <w:rPr>
                <w:rFonts w:hint="eastAsia" w:ascii="宋体" w:hAnsi="宋体" w:cs="宋体"/>
                <w:color w:val="000000"/>
                <w:szCs w:val="21"/>
                <w:lang w:val="en-US" w:eastAsia="zh-CN"/>
              </w:rPr>
              <w:t>对该项目推进的质量控制和服务措施（包括但不限于沟通计划、保障措施、团队管理制度等），最高15分；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报名供应商对本项目的服务承诺及其他增加的内容，最高5分。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default" w:ascii="宋体" w:hAnsi="宋体" w:cs="宋体"/>
                <w:color w:val="000000"/>
                <w:szCs w:val="21"/>
                <w:lang w:val="en-US" w:eastAsia="zh-CN"/>
              </w:rPr>
            </w:pPr>
            <w:r>
              <w:rPr>
                <w:rFonts w:hint="eastAsia" w:ascii="宋体" w:hAnsi="宋体" w:cs="宋体"/>
                <w:color w:val="000000"/>
                <w:szCs w:val="21"/>
                <w:lang w:val="en-US" w:eastAsia="zh-CN"/>
              </w:rPr>
              <w:t>本项最高得分35分。</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cs="Times New Roman"/>
                <w:b w:val="0"/>
                <w:color w:val="000000"/>
                <w:kern w:val="2"/>
                <w:sz w:val="28"/>
                <w:szCs w:val="22"/>
                <w:vertAlign w:val="baseline"/>
                <w:lang w:val="en-US" w:eastAsia="zh-CN" w:bidi="ar-SA"/>
              </w:rPr>
            </w:pPr>
            <w:r>
              <w:rPr>
                <w:rFonts w:hint="eastAsia" w:ascii="宋体" w:hAnsi="宋体"/>
                <w:color w:val="000000"/>
                <w:lang w:val="en-US" w:eastAsia="zh-CN"/>
              </w:rPr>
              <w:t>提供实施方案文件（加盖公章）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kern w:val="0"/>
                <w:sz w:val="24"/>
                <w:szCs w:val="24"/>
                <w:lang w:eastAsia="zh-CN"/>
              </w:rPr>
            </w:pPr>
            <w:r>
              <w:rPr>
                <w:rFonts w:hint="eastAsia" w:ascii="楷体_GB2312" w:hAnsi="楷体_GB2312" w:eastAsia="楷体_GB2312" w:cs="楷体_GB2312"/>
                <w:b w:val="0"/>
                <w:bCs w:val="0"/>
                <w:color w:val="000000"/>
                <w:kern w:val="0"/>
                <w:sz w:val="24"/>
                <w:szCs w:val="24"/>
              </w:rPr>
              <w:t>业绩</w:t>
            </w:r>
            <w:r>
              <w:rPr>
                <w:rFonts w:hint="eastAsia" w:ascii="楷体_GB2312" w:hAnsi="楷体_GB2312" w:eastAsia="楷体_GB2312" w:cs="楷体_GB2312"/>
                <w:b w:val="0"/>
                <w:bCs w:val="0"/>
                <w:color w:val="000000"/>
                <w:kern w:val="0"/>
                <w:sz w:val="24"/>
                <w:szCs w:val="24"/>
                <w:lang w:eastAsia="zh-CN"/>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8"/>
                <w:vertAlign w:val="baseline"/>
                <w:lang w:val="en-US" w:eastAsia="zh-CN"/>
              </w:rPr>
            </w:pPr>
            <w:r>
              <w:rPr>
                <w:rFonts w:hint="eastAsia" w:ascii="楷体_GB2312" w:hAnsi="楷体_GB2312" w:eastAsia="楷体_GB2312" w:cs="楷体_GB2312"/>
                <w:b w:val="0"/>
                <w:bCs w:val="0"/>
                <w:color w:val="000000"/>
                <w:kern w:val="0"/>
                <w:sz w:val="24"/>
                <w:szCs w:val="24"/>
              </w:rPr>
              <w:t>(</w:t>
            </w:r>
            <w:r>
              <w:rPr>
                <w:rFonts w:hint="eastAsia" w:ascii="楷体_GB2312" w:hAnsi="楷体_GB2312" w:eastAsia="楷体_GB2312" w:cs="楷体_GB2312"/>
                <w:b w:val="0"/>
                <w:bCs w:val="0"/>
                <w:color w:val="000000"/>
                <w:kern w:val="0"/>
                <w:sz w:val="24"/>
                <w:szCs w:val="24"/>
                <w:lang w:val="en-US" w:eastAsia="zh-CN"/>
              </w:rPr>
              <w:t>20</w:t>
            </w:r>
            <w:r>
              <w:rPr>
                <w:rFonts w:hint="eastAsia" w:ascii="楷体_GB2312" w:hAnsi="楷体_GB2312" w:eastAsia="楷体_GB2312" w:cs="楷体_GB2312"/>
                <w:b w:val="0"/>
                <w:bCs w:val="0"/>
                <w:color w:val="000000"/>
                <w:kern w:val="0"/>
                <w:sz w:val="24"/>
                <w:szCs w:val="24"/>
              </w:rPr>
              <w:t>分）</w:t>
            </w:r>
          </w:p>
        </w:tc>
        <w:tc>
          <w:tcPr>
            <w:tcW w:w="3124"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报名供应商在近三年内承接过行政事业单位绩效评估、重点项目绩效评价研究案例的，每提供一项得5分。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b w:val="0"/>
                <w:color w:val="000000"/>
                <w:sz w:val="28"/>
                <w:vertAlign w:val="baseline"/>
                <w:lang w:val="en-US" w:eastAsia="zh-CN"/>
              </w:rPr>
            </w:pPr>
            <w:r>
              <w:rPr>
                <w:rFonts w:hint="eastAsia" w:ascii="宋体" w:hAnsi="宋体" w:cs="宋体"/>
                <w:color w:val="auto"/>
                <w:szCs w:val="21"/>
                <w:lang w:val="en-US" w:eastAsia="zh-CN"/>
              </w:rPr>
              <w:t>本项最高得分20分。</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黑体"/>
                <w:b w:val="0"/>
                <w:color w:val="000000"/>
                <w:sz w:val="28"/>
                <w:vertAlign w:val="baseline"/>
                <w:lang w:val="en-US" w:eastAsia="zh-CN"/>
              </w:rPr>
            </w:pPr>
            <w:r>
              <w:rPr>
                <w:rFonts w:hint="eastAsia" w:ascii="宋体" w:hAnsi="宋体" w:cs="宋体"/>
                <w:color w:val="000000"/>
                <w:szCs w:val="21"/>
                <w:lang w:eastAsia="zh-CN"/>
              </w:rPr>
              <w:t>中标通知书或签约合同等相关证明文件</w:t>
            </w:r>
            <w:r>
              <w:rPr>
                <w:rFonts w:hint="eastAsia" w:ascii="宋体" w:hAnsi="宋体" w:cs="宋体"/>
                <w:color w:val="000000"/>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4"/>
                <w:szCs w:val="24"/>
                <w:lang w:val="en-US" w:eastAsia="zh-CN"/>
              </w:rPr>
            </w:pPr>
            <w:r>
              <w:rPr>
                <w:rFonts w:hint="eastAsia" w:ascii="楷体_GB2312" w:hAnsi="楷体_GB2312" w:eastAsia="楷体_GB2312" w:cs="楷体_GB2312"/>
                <w:b w:val="0"/>
                <w:bCs w:val="0"/>
                <w:color w:val="000000"/>
                <w:sz w:val="24"/>
                <w:szCs w:val="24"/>
                <w:lang w:val="en-US" w:eastAsia="zh-CN"/>
              </w:rPr>
              <w:t>报价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楷体_GB2312" w:hAnsi="楷体_GB2312" w:eastAsia="楷体_GB2312" w:cs="楷体_GB2312"/>
                <w:b w:val="0"/>
                <w:bCs w:val="0"/>
                <w:color w:val="000000"/>
                <w:sz w:val="28"/>
                <w:vertAlign w:val="baseline"/>
                <w:lang w:val="en-US" w:eastAsia="zh-CN"/>
              </w:rPr>
            </w:pPr>
            <w:r>
              <w:rPr>
                <w:rFonts w:hint="eastAsia" w:ascii="楷体_GB2312" w:hAnsi="楷体_GB2312" w:eastAsia="楷体_GB2312" w:cs="楷体_GB2312"/>
                <w:b w:val="0"/>
                <w:bCs w:val="0"/>
                <w:color w:val="000000"/>
                <w:sz w:val="24"/>
                <w:szCs w:val="24"/>
                <w:lang w:val="en-US" w:eastAsia="zh-CN"/>
              </w:rPr>
              <w:t>（20分）</w:t>
            </w:r>
          </w:p>
        </w:tc>
        <w:tc>
          <w:tcPr>
            <w:tcW w:w="3124"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42" w:firstLineChars="20"/>
              <w:jc w:val="both"/>
              <w:textAlignment w:val="auto"/>
              <w:rPr>
                <w:rFonts w:hint="eastAsia" w:ascii="黑体" w:hAnsi="黑体" w:eastAsia="黑体"/>
                <w:b w:val="0"/>
                <w:color w:val="000000"/>
                <w:sz w:val="28"/>
                <w:vertAlign w:val="baseline"/>
                <w:lang w:val="en-US" w:eastAsia="zh-CN"/>
              </w:rPr>
            </w:pPr>
            <w:r>
              <w:rPr>
                <w:rFonts w:hint="eastAsia" w:ascii="宋体" w:hAnsi="宋体"/>
                <w:bCs/>
                <w:color w:val="000000"/>
                <w:szCs w:val="21"/>
              </w:rPr>
              <w:t>以本次</w:t>
            </w:r>
            <w:r>
              <w:rPr>
                <w:rFonts w:hint="eastAsia" w:ascii="宋体" w:hAnsi="宋体"/>
                <w:bCs/>
                <w:color w:val="000000"/>
                <w:szCs w:val="21"/>
                <w:lang w:val="en-US" w:eastAsia="zh-CN"/>
              </w:rPr>
              <w:t>申请服务商</w:t>
            </w:r>
            <w:r>
              <w:rPr>
                <w:rFonts w:hint="eastAsia" w:ascii="宋体" w:hAnsi="宋体"/>
                <w:bCs/>
                <w:color w:val="000000"/>
                <w:szCs w:val="21"/>
              </w:rPr>
              <w:t>所报的有效报价中的最低价作为基准报价。</w:t>
            </w:r>
            <w:r>
              <w:rPr>
                <w:rFonts w:hint="eastAsia" w:ascii="宋体" w:hAnsi="宋体"/>
                <w:bCs/>
                <w:color w:val="000000"/>
                <w:szCs w:val="21"/>
                <w:lang w:val="en-US" w:eastAsia="zh-CN"/>
              </w:rPr>
              <w:t>申请服务商</w:t>
            </w:r>
            <w:r>
              <w:rPr>
                <w:rFonts w:hint="eastAsia" w:ascii="宋体" w:hAnsi="宋体"/>
                <w:bCs/>
                <w:color w:val="000000"/>
                <w:szCs w:val="21"/>
              </w:rPr>
              <w:t>报价得分</w:t>
            </w:r>
            <w:r>
              <w:rPr>
                <w:rFonts w:hint="eastAsia" w:ascii="宋体" w:hAnsi="宋体"/>
                <w:bCs/>
                <w:color w:val="000000"/>
                <w:szCs w:val="21"/>
                <w:lang w:val="en-US" w:eastAsia="zh-CN"/>
              </w:rPr>
              <w:t>=</w:t>
            </w:r>
            <w:r>
              <w:rPr>
                <w:rFonts w:hint="eastAsia" w:ascii="宋体" w:hAnsi="宋体"/>
                <w:bCs/>
                <w:color w:val="000000"/>
                <w:szCs w:val="21"/>
              </w:rPr>
              <w:t>（基准价/</w:t>
            </w:r>
            <w:r>
              <w:rPr>
                <w:rFonts w:hint="eastAsia" w:ascii="宋体" w:hAnsi="宋体"/>
                <w:bCs/>
                <w:color w:val="000000"/>
                <w:szCs w:val="21"/>
                <w:lang w:eastAsia="zh-CN"/>
              </w:rPr>
              <w:t>申请服务商</w:t>
            </w:r>
            <w:r>
              <w:rPr>
                <w:rFonts w:hint="eastAsia" w:ascii="宋体" w:hAnsi="宋体"/>
                <w:bCs/>
                <w:color w:val="000000"/>
                <w:szCs w:val="21"/>
              </w:rPr>
              <w:t>报价）*</w:t>
            </w:r>
            <w:r>
              <w:rPr>
                <w:rFonts w:hint="eastAsia" w:ascii="宋体" w:hAnsi="宋体"/>
                <w:bCs/>
                <w:color w:val="000000"/>
                <w:szCs w:val="21"/>
                <w:lang w:val="en-US" w:eastAsia="zh-CN"/>
              </w:rPr>
              <w:t>20</w:t>
            </w:r>
            <w:r>
              <w:rPr>
                <w:rFonts w:hint="eastAsia" w:ascii="宋体" w:hAnsi="宋体"/>
                <w:bCs/>
                <w:color w:val="000000"/>
                <w:szCs w:val="21"/>
              </w:rPr>
              <w:t>。</w:t>
            </w:r>
          </w:p>
        </w:tc>
        <w:tc>
          <w:tcPr>
            <w:tcW w:w="990" w:type="pc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黑体" w:hAnsi="黑体" w:eastAsia="宋体"/>
                <w:b w:val="0"/>
                <w:color w:val="000000"/>
                <w:sz w:val="28"/>
                <w:vertAlign w:val="baseline"/>
                <w:lang w:val="en-US" w:eastAsia="zh-CN"/>
              </w:rPr>
            </w:pPr>
            <w:r>
              <w:rPr>
                <w:rFonts w:hint="eastAsia" w:ascii="宋体" w:hAnsi="宋体"/>
                <w:color w:val="000000"/>
              </w:rPr>
              <w:t>报价文件中须含报价部分</w:t>
            </w:r>
            <w:r>
              <w:rPr>
                <w:rFonts w:hint="eastAsia" w:ascii="宋体" w:hAnsi="宋体"/>
                <w:color w:val="000000"/>
                <w:lang w:eastAsia="zh-CN"/>
              </w:rPr>
              <w:t>（</w:t>
            </w:r>
            <w:r>
              <w:rPr>
                <w:rFonts w:hint="eastAsia" w:ascii="宋体" w:hAnsi="宋体"/>
                <w:color w:val="000000"/>
                <w:lang w:val="en-US" w:eastAsia="zh-CN"/>
              </w:rPr>
              <w:t>加盖公章</w:t>
            </w:r>
            <w:r>
              <w:rPr>
                <w:rFonts w:hint="eastAsia" w:ascii="宋体" w:hAnsi="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000" w:type="pct"/>
            <w:gridSpan w:val="3"/>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宋体" w:hAnsi="宋体"/>
                <w:color w:val="000000"/>
                <w:lang w:eastAsia="zh-CN"/>
              </w:rPr>
            </w:pPr>
            <w:r>
              <w:rPr>
                <w:rFonts w:ascii="宋体" w:hAnsi="宋体" w:cs="宋体"/>
                <w:sz w:val="24"/>
                <w:szCs w:val="24"/>
              </w:rPr>
              <w:t>不提供证明文件或提供的证明文件不合格者，均不得分。</w:t>
            </w:r>
          </w:p>
        </w:tc>
      </w:tr>
    </w:tbl>
    <w:p>
      <w:pPr>
        <w:pStyle w:val="13"/>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alibri" w:eastAsia="仿宋_GB2312"/>
          <w:b w:val="0"/>
          <w:color w:val="000000"/>
          <w:sz w:val="32"/>
          <w:szCs w:val="32"/>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Calibri" w:eastAsia="仿宋_GB2312" w:cs="Times New Roman"/>
          <w:b w:val="0"/>
          <w:color w:val="000000"/>
          <w:kern w:val="2"/>
          <w:sz w:val="32"/>
          <w:szCs w:val="32"/>
          <w:lang w:val="en-US" w:eastAsia="zh-CN" w:bidi="ar-SA"/>
        </w:rPr>
      </w:pPr>
      <w:r>
        <w:rPr>
          <w:rFonts w:hint="eastAsia" w:ascii="仿宋_GB2312" w:hAnsi="Calibri" w:eastAsia="仿宋_GB2312" w:cs="Times New Roman"/>
          <w:b w:val="0"/>
          <w:color w:val="000000"/>
          <w:kern w:val="2"/>
          <w:sz w:val="32"/>
          <w:szCs w:val="32"/>
          <w:lang w:val="en-US" w:eastAsia="zh-CN" w:bidi="ar-SA"/>
        </w:rPr>
        <w:t xml:space="preserve">                         深圳市龙华区科技创新局</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Calibri" w:eastAsia="仿宋_GB2312" w:cs="Times New Roman"/>
          <w:b w:val="0"/>
          <w:color w:val="auto"/>
          <w:kern w:val="2"/>
          <w:sz w:val="32"/>
          <w:szCs w:val="32"/>
          <w:lang w:val="en-US" w:eastAsia="zh-CN" w:bidi="ar-SA"/>
        </w:rPr>
      </w:pPr>
      <w:r>
        <w:rPr>
          <w:rFonts w:hint="eastAsia" w:ascii="仿宋_GB2312" w:hAnsi="Calibri" w:eastAsia="仿宋_GB2312" w:cs="Times New Roman"/>
          <w:b w:val="0"/>
          <w:color w:val="000000"/>
          <w:kern w:val="2"/>
          <w:sz w:val="32"/>
          <w:szCs w:val="32"/>
          <w:lang w:val="en-US" w:eastAsia="zh-CN" w:bidi="ar-SA"/>
        </w:rPr>
        <w:t xml:space="preserve">                  </w:t>
      </w:r>
      <w:r>
        <w:rPr>
          <w:rFonts w:hint="eastAsia" w:ascii="仿宋_GB2312" w:hAnsi="Calibri" w:eastAsia="仿宋_GB2312" w:cs="Times New Roman"/>
          <w:b w:val="0"/>
          <w:color w:val="000000"/>
          <w:kern w:val="2"/>
          <w:sz w:val="32"/>
          <w:szCs w:val="32"/>
          <w:highlight w:val="none"/>
          <w:lang w:val="en-US" w:eastAsia="zh-CN" w:bidi="ar-SA"/>
        </w:rPr>
        <w:t xml:space="preserve">        </w:t>
      </w:r>
      <w:r>
        <w:rPr>
          <w:rFonts w:hint="default" w:ascii="仿宋_GB2312" w:hAnsi="Calibri" w:eastAsia="仿宋_GB2312" w:cs="Times New Roman"/>
          <w:b w:val="0"/>
          <w:color w:val="auto"/>
          <w:kern w:val="2"/>
          <w:sz w:val="32"/>
          <w:szCs w:val="32"/>
          <w:highlight w:val="none"/>
          <w:lang w:val="en" w:eastAsia="zh-CN" w:bidi="ar-SA"/>
        </w:rPr>
        <w:t>2023</w:t>
      </w:r>
      <w:r>
        <w:rPr>
          <w:rFonts w:hint="eastAsia" w:ascii="仿宋_GB2312" w:hAnsi="Calibri" w:eastAsia="仿宋_GB2312" w:cs="Times New Roman"/>
          <w:b w:val="0"/>
          <w:color w:val="auto"/>
          <w:kern w:val="2"/>
          <w:sz w:val="32"/>
          <w:szCs w:val="32"/>
          <w:highlight w:val="none"/>
          <w:lang w:val="en-US" w:eastAsia="zh-CN" w:bidi="ar-SA"/>
        </w:rPr>
        <w:t>年9月12</w:t>
      </w:r>
      <w:bookmarkStart w:id="0" w:name="_GoBack"/>
      <w:bookmarkEnd w:id="0"/>
      <w:r>
        <w:rPr>
          <w:rFonts w:hint="eastAsia" w:ascii="仿宋_GB2312" w:hAnsi="Calibri" w:eastAsia="仿宋_GB2312" w:cs="Times New Roman"/>
          <w:b w:val="0"/>
          <w:color w:val="auto"/>
          <w:kern w:val="2"/>
          <w:sz w:val="32"/>
          <w:szCs w:val="32"/>
          <w:highlight w:val="none"/>
          <w:lang w:val="en-US" w:eastAsia="zh-CN" w:bidi="ar-SA"/>
        </w:rPr>
        <w:t>日</w:t>
      </w:r>
    </w:p>
    <w:p>
      <w:pPr>
        <w:keepNext w:val="0"/>
        <w:keepLines w:val="0"/>
        <w:pageBreakBefore w:val="0"/>
        <w:kinsoku/>
        <w:wordWrap/>
        <w:overflowPunct/>
        <w:topLinePunct w:val="0"/>
        <w:autoSpaceDE/>
        <w:autoSpaceDN/>
        <w:bidi w:val="0"/>
        <w:adjustRightInd/>
        <w:spacing w:beforeAutospacing="0" w:afterAutospacing="0" w:line="560" w:lineRule="exact"/>
        <w:jc w:val="both"/>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华光简小标宋">
    <w:altName w:val="方正小标宋_GBK"/>
    <w:panose1 w:val="02010609000101010101"/>
    <w:charset w:val="86"/>
    <w:family w:val="moder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22A3A2"/>
    <w:multiLevelType w:val="singleLevel"/>
    <w:tmpl w:val="7F22A3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D4A55"/>
    <w:rsid w:val="00163194"/>
    <w:rsid w:val="004E4C8E"/>
    <w:rsid w:val="00531D9A"/>
    <w:rsid w:val="00700C4E"/>
    <w:rsid w:val="00AA7B4A"/>
    <w:rsid w:val="00CC700E"/>
    <w:rsid w:val="00DD3BFD"/>
    <w:rsid w:val="00FC203B"/>
    <w:rsid w:val="01A83309"/>
    <w:rsid w:val="01A84209"/>
    <w:rsid w:val="04830B75"/>
    <w:rsid w:val="048A2EFA"/>
    <w:rsid w:val="04FB03FA"/>
    <w:rsid w:val="059A7A2E"/>
    <w:rsid w:val="05DF6D19"/>
    <w:rsid w:val="0612147C"/>
    <w:rsid w:val="0618174D"/>
    <w:rsid w:val="07491BB0"/>
    <w:rsid w:val="077160CB"/>
    <w:rsid w:val="07A73664"/>
    <w:rsid w:val="09E67116"/>
    <w:rsid w:val="0AB77C50"/>
    <w:rsid w:val="0C28274B"/>
    <w:rsid w:val="0C923886"/>
    <w:rsid w:val="0CC83707"/>
    <w:rsid w:val="0E026960"/>
    <w:rsid w:val="0E1154F6"/>
    <w:rsid w:val="0E8467E4"/>
    <w:rsid w:val="0FF36F42"/>
    <w:rsid w:val="103B46B2"/>
    <w:rsid w:val="105E7722"/>
    <w:rsid w:val="11374945"/>
    <w:rsid w:val="12F11E88"/>
    <w:rsid w:val="12F13F3D"/>
    <w:rsid w:val="13525B5A"/>
    <w:rsid w:val="137E5E51"/>
    <w:rsid w:val="13961C15"/>
    <w:rsid w:val="140B67C1"/>
    <w:rsid w:val="14180F6E"/>
    <w:rsid w:val="145B7529"/>
    <w:rsid w:val="14A53B80"/>
    <w:rsid w:val="15624E21"/>
    <w:rsid w:val="17FFCBFC"/>
    <w:rsid w:val="199D7790"/>
    <w:rsid w:val="19EC5296"/>
    <w:rsid w:val="1A1D4183"/>
    <w:rsid w:val="1AC86129"/>
    <w:rsid w:val="1B515924"/>
    <w:rsid w:val="1BE17087"/>
    <w:rsid w:val="1BE27807"/>
    <w:rsid w:val="1DA81B38"/>
    <w:rsid w:val="1E467183"/>
    <w:rsid w:val="1E9A77F4"/>
    <w:rsid w:val="1F32168E"/>
    <w:rsid w:val="1FAA3EDD"/>
    <w:rsid w:val="1FEA1406"/>
    <w:rsid w:val="208B1882"/>
    <w:rsid w:val="20D32C74"/>
    <w:rsid w:val="20FD746D"/>
    <w:rsid w:val="216060D1"/>
    <w:rsid w:val="233B1883"/>
    <w:rsid w:val="25222AA5"/>
    <w:rsid w:val="254D2143"/>
    <w:rsid w:val="25603CCE"/>
    <w:rsid w:val="26174B73"/>
    <w:rsid w:val="274404DF"/>
    <w:rsid w:val="275C189F"/>
    <w:rsid w:val="29FC565A"/>
    <w:rsid w:val="2AA535E3"/>
    <w:rsid w:val="2B057A89"/>
    <w:rsid w:val="2B4730E0"/>
    <w:rsid w:val="2BE00DF2"/>
    <w:rsid w:val="2C144C9E"/>
    <w:rsid w:val="2C6068BF"/>
    <w:rsid w:val="2D372906"/>
    <w:rsid w:val="2DC7347B"/>
    <w:rsid w:val="2EFD0F66"/>
    <w:rsid w:val="2FA018BF"/>
    <w:rsid w:val="2FBA5996"/>
    <w:rsid w:val="2FC11C09"/>
    <w:rsid w:val="30D81898"/>
    <w:rsid w:val="30E0769A"/>
    <w:rsid w:val="31B27985"/>
    <w:rsid w:val="31F25C3E"/>
    <w:rsid w:val="32126E48"/>
    <w:rsid w:val="32DF18D2"/>
    <w:rsid w:val="33DF0D34"/>
    <w:rsid w:val="33E43DD4"/>
    <w:rsid w:val="36FE78C5"/>
    <w:rsid w:val="373E498F"/>
    <w:rsid w:val="38A4757E"/>
    <w:rsid w:val="391371A7"/>
    <w:rsid w:val="392E6529"/>
    <w:rsid w:val="39546F69"/>
    <w:rsid w:val="39987609"/>
    <w:rsid w:val="39C22058"/>
    <w:rsid w:val="3A517702"/>
    <w:rsid w:val="3A5274C2"/>
    <w:rsid w:val="3B366A0F"/>
    <w:rsid w:val="3B442E99"/>
    <w:rsid w:val="3B610265"/>
    <w:rsid w:val="3B6B473B"/>
    <w:rsid w:val="3BCD4A55"/>
    <w:rsid w:val="3C18064B"/>
    <w:rsid w:val="3CC0739C"/>
    <w:rsid w:val="3D162188"/>
    <w:rsid w:val="3E403FD2"/>
    <w:rsid w:val="3E7F163D"/>
    <w:rsid w:val="3F7A656B"/>
    <w:rsid w:val="3F8F18A0"/>
    <w:rsid w:val="3F9F2986"/>
    <w:rsid w:val="3FCC257E"/>
    <w:rsid w:val="3FE70DAF"/>
    <w:rsid w:val="3FFB7519"/>
    <w:rsid w:val="40784565"/>
    <w:rsid w:val="41960603"/>
    <w:rsid w:val="419B5541"/>
    <w:rsid w:val="439F7577"/>
    <w:rsid w:val="44EF6F66"/>
    <w:rsid w:val="451B7042"/>
    <w:rsid w:val="46856E93"/>
    <w:rsid w:val="46D57DE6"/>
    <w:rsid w:val="46FD54D1"/>
    <w:rsid w:val="49DF091C"/>
    <w:rsid w:val="4A5479F0"/>
    <w:rsid w:val="4B621E65"/>
    <w:rsid w:val="4B771019"/>
    <w:rsid w:val="4BB151CF"/>
    <w:rsid w:val="4CC80F1F"/>
    <w:rsid w:val="4D4E52EB"/>
    <w:rsid w:val="4D792A2A"/>
    <w:rsid w:val="4E6C1FFC"/>
    <w:rsid w:val="4E8372C0"/>
    <w:rsid w:val="4ECC15A9"/>
    <w:rsid w:val="4EEE4B4A"/>
    <w:rsid w:val="4F0B02A1"/>
    <w:rsid w:val="4F97016C"/>
    <w:rsid w:val="50723352"/>
    <w:rsid w:val="50922BDB"/>
    <w:rsid w:val="51133648"/>
    <w:rsid w:val="51E502E2"/>
    <w:rsid w:val="52337255"/>
    <w:rsid w:val="527203F5"/>
    <w:rsid w:val="52BB0A30"/>
    <w:rsid w:val="530659A6"/>
    <w:rsid w:val="53685B8C"/>
    <w:rsid w:val="53E072AE"/>
    <w:rsid w:val="54807ADC"/>
    <w:rsid w:val="54820366"/>
    <w:rsid w:val="54EA46DF"/>
    <w:rsid w:val="54FD2A1F"/>
    <w:rsid w:val="55DF1ABA"/>
    <w:rsid w:val="55F22981"/>
    <w:rsid w:val="560F5599"/>
    <w:rsid w:val="57633983"/>
    <w:rsid w:val="57886377"/>
    <w:rsid w:val="57F72B00"/>
    <w:rsid w:val="58730A0C"/>
    <w:rsid w:val="58AF1465"/>
    <w:rsid w:val="5905077D"/>
    <w:rsid w:val="59457283"/>
    <w:rsid w:val="59AD0696"/>
    <w:rsid w:val="59AE10FE"/>
    <w:rsid w:val="59F440F3"/>
    <w:rsid w:val="5A91579D"/>
    <w:rsid w:val="5AC063D7"/>
    <w:rsid w:val="5B3F1B66"/>
    <w:rsid w:val="5B8F2FDE"/>
    <w:rsid w:val="5BAF49BD"/>
    <w:rsid w:val="5CA8281E"/>
    <w:rsid w:val="5CB4470B"/>
    <w:rsid w:val="5D0E1D95"/>
    <w:rsid w:val="5D9C42A8"/>
    <w:rsid w:val="5DB82865"/>
    <w:rsid w:val="5DC26981"/>
    <w:rsid w:val="5DD86508"/>
    <w:rsid w:val="5DFFF568"/>
    <w:rsid w:val="5E137344"/>
    <w:rsid w:val="5E6651C4"/>
    <w:rsid w:val="5EF83365"/>
    <w:rsid w:val="60986E6D"/>
    <w:rsid w:val="60CD3F92"/>
    <w:rsid w:val="60D412D9"/>
    <w:rsid w:val="61B11112"/>
    <w:rsid w:val="624D517F"/>
    <w:rsid w:val="62C76BE7"/>
    <w:rsid w:val="630503F6"/>
    <w:rsid w:val="63AA0F44"/>
    <w:rsid w:val="63F65421"/>
    <w:rsid w:val="6450105B"/>
    <w:rsid w:val="64933F3B"/>
    <w:rsid w:val="649A557F"/>
    <w:rsid w:val="64CC7596"/>
    <w:rsid w:val="65043002"/>
    <w:rsid w:val="66235268"/>
    <w:rsid w:val="66B5651E"/>
    <w:rsid w:val="66E57074"/>
    <w:rsid w:val="67416175"/>
    <w:rsid w:val="676E0F43"/>
    <w:rsid w:val="681A7687"/>
    <w:rsid w:val="690B6F98"/>
    <w:rsid w:val="692E6464"/>
    <w:rsid w:val="6976312A"/>
    <w:rsid w:val="6A0E78C6"/>
    <w:rsid w:val="6A3A51F0"/>
    <w:rsid w:val="6B22323C"/>
    <w:rsid w:val="6B6C715A"/>
    <w:rsid w:val="6C97463D"/>
    <w:rsid w:val="6CDF30F3"/>
    <w:rsid w:val="6CFD42AF"/>
    <w:rsid w:val="6D7548B2"/>
    <w:rsid w:val="6E1D6A4C"/>
    <w:rsid w:val="6EC42C79"/>
    <w:rsid w:val="708D4500"/>
    <w:rsid w:val="711D3F4A"/>
    <w:rsid w:val="71466D3C"/>
    <w:rsid w:val="7267248A"/>
    <w:rsid w:val="72FB5660"/>
    <w:rsid w:val="73594DD0"/>
    <w:rsid w:val="73786A91"/>
    <w:rsid w:val="743657D8"/>
    <w:rsid w:val="758309EC"/>
    <w:rsid w:val="766E5517"/>
    <w:rsid w:val="76750703"/>
    <w:rsid w:val="76786566"/>
    <w:rsid w:val="768865A9"/>
    <w:rsid w:val="76C21773"/>
    <w:rsid w:val="76C93AFA"/>
    <w:rsid w:val="76CC1423"/>
    <w:rsid w:val="771166B5"/>
    <w:rsid w:val="77F83064"/>
    <w:rsid w:val="7842151E"/>
    <w:rsid w:val="78D81679"/>
    <w:rsid w:val="7A022F0C"/>
    <w:rsid w:val="7AA16382"/>
    <w:rsid w:val="7D743924"/>
    <w:rsid w:val="7DDE4BBF"/>
    <w:rsid w:val="7DF6304C"/>
    <w:rsid w:val="7E320B6F"/>
    <w:rsid w:val="7E8F58B8"/>
    <w:rsid w:val="7E9AF54D"/>
    <w:rsid w:val="7EFA2E85"/>
    <w:rsid w:val="7F636901"/>
    <w:rsid w:val="7F7D1486"/>
    <w:rsid w:val="9BFFDE22"/>
    <w:rsid w:val="9DFF5DBF"/>
    <w:rsid w:val="9FFFDC8D"/>
    <w:rsid w:val="B8BA5DB0"/>
    <w:rsid w:val="BF1F362E"/>
    <w:rsid w:val="DBEF5E29"/>
    <w:rsid w:val="EFBCBD72"/>
    <w:rsid w:val="F3FF6D35"/>
    <w:rsid w:val="F76D3096"/>
    <w:rsid w:val="FABF3B84"/>
    <w:rsid w:val="FBE95207"/>
    <w:rsid w:val="FCFCF8D5"/>
    <w:rsid w:val="FDFF2E1F"/>
    <w:rsid w:val="FDFF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Courier New" w:hAnsi="Courier New"/>
      <w:szCs w:val="20"/>
    </w:rPr>
  </w:style>
  <w:style w:type="paragraph" w:styleId="3">
    <w:name w:val="annotation text"/>
    <w:basedOn w:val="1"/>
    <w:qFormat/>
    <w:uiPriority w:val="0"/>
    <w:pPr>
      <w:jc w:val="left"/>
    </w:pPr>
  </w:style>
  <w:style w:type="paragraph" w:styleId="4">
    <w:name w:val="Body Text"/>
    <w:basedOn w:val="1"/>
    <w:qFormat/>
    <w:uiPriority w:val="0"/>
    <w:pPr>
      <w:spacing w:line="360" w:lineRule="auto"/>
    </w:pPr>
    <w:rPr>
      <w:b/>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1"/>
    <w:basedOn w:val="1"/>
    <w:qFormat/>
    <w:uiPriority w:val="34"/>
    <w:pPr>
      <w:ind w:firstLine="420" w:firstLineChars="200"/>
    </w:pPr>
    <w:rPr>
      <w:rFonts w:ascii="Times New Roman" w:hAnsi="Times New Roman"/>
      <w:szCs w:val="20"/>
    </w:rPr>
  </w:style>
  <w:style w:type="paragraph" w:customStyle="1" w:styleId="12">
    <w:name w:val="列出段落1"/>
    <w:basedOn w:val="1"/>
    <w:qFormat/>
    <w:uiPriority w:val="34"/>
    <w:pPr>
      <w:ind w:firstLine="420" w:firstLineChars="200"/>
    </w:pPr>
    <w:rPr>
      <w:rFonts w:ascii="Times New Roman" w:hAnsi="Times New Roman"/>
      <w:szCs w:val="24"/>
    </w:rPr>
  </w:style>
  <w:style w:type="paragraph" w:customStyle="1" w:styleId="13">
    <w:name w:val="USE 1"/>
    <w:basedOn w:val="1"/>
    <w:qFormat/>
    <w:uiPriority w:val="0"/>
    <w:pPr>
      <w:spacing w:line="200" w:lineRule="atLeast"/>
      <w:jc w:val="left"/>
    </w:pPr>
    <w:rPr>
      <w:rFonts w:ascii="宋体" w:hAnsi="宋体"/>
      <w:b/>
      <w:sz w:val="24"/>
      <w:szCs w:val="28"/>
    </w:rPr>
  </w:style>
  <w:style w:type="character" w:customStyle="1" w:styleId="14">
    <w:name w:val="页眉 Char"/>
    <w:basedOn w:val="10"/>
    <w:link w:val="6"/>
    <w:qFormat/>
    <w:uiPriority w:val="0"/>
    <w:rPr>
      <w:rFonts w:ascii="Calibri" w:hAnsi="Calibri"/>
      <w:kern w:val="2"/>
      <w:sz w:val="18"/>
      <w:szCs w:val="18"/>
    </w:rPr>
  </w:style>
  <w:style w:type="character" w:customStyle="1" w:styleId="15">
    <w:name w:val="页脚 Char"/>
    <w:basedOn w:val="10"/>
    <w:link w:val="5"/>
    <w:qFormat/>
    <w:uiPriority w:val="0"/>
    <w:rPr>
      <w:rFonts w:ascii="Calibri" w:hAnsi="Calibri"/>
      <w:kern w:val="2"/>
      <w:sz w:val="18"/>
      <w:szCs w:val="18"/>
    </w:rPr>
  </w:style>
  <w:style w:type="paragraph" w:customStyle="1" w:styleId="16">
    <w:name w:val="_Style 2"/>
    <w:basedOn w:val="1"/>
    <w:qFormat/>
    <w:uiPriority w:val="0"/>
    <w:pPr>
      <w:ind w:firstLine="42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1737</Words>
  <Characters>1820</Characters>
  <Lines>12</Lines>
  <Paragraphs>3</Paragraphs>
  <TotalTime>10</TotalTime>
  <ScaleCrop>false</ScaleCrop>
  <LinksUpToDate>false</LinksUpToDate>
  <CharactersWithSpaces>1855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2021-03-14T10:18:00Z</dcterms:created>
  <dc:creator>王月凌</dc:creator>
  <cp:lastModifiedBy>kcj-psy</cp:lastModifiedBy>
  <cp:lastPrinted>2023-08-17T11:20:00Z</cp:lastPrinted>
  <dcterms:modified xsi:type="dcterms:W3CDTF">2023-09-12T17:46:48Z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D382BFB71FDF42518CCF0435BA71A07E</vt:lpwstr>
  </property>
</Properties>
</file>