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jc w:val="center"/>
        <w:outlineLvl w:val="9"/>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龙华</w:t>
      </w:r>
      <w:r>
        <w:rPr>
          <w:rFonts w:hint="eastAsia" w:ascii="方正小标宋简体" w:hAnsi="Calibri" w:eastAsia="方正小标宋简体" w:cs="Times New Roman"/>
          <w:sz w:val="44"/>
          <w:szCs w:val="44"/>
        </w:rPr>
        <w:t>图书馆</w:t>
      </w:r>
      <w:r>
        <w:rPr>
          <w:rFonts w:hint="eastAsia" w:ascii="方正小标宋简体" w:hAnsi="Calibri" w:eastAsia="方正小标宋简体" w:cs="Times New Roman"/>
          <w:sz w:val="44"/>
          <w:szCs w:val="44"/>
          <w:lang w:val="en-US" w:eastAsia="zh-CN"/>
        </w:rPr>
        <w:t>2023-2024年度</w:t>
      </w:r>
      <w:r>
        <w:rPr>
          <w:rFonts w:hint="eastAsia" w:ascii="方正小标宋简体" w:hAnsi="Calibri" w:eastAsia="方正小标宋简体" w:cs="Times New Roman"/>
          <w:sz w:val="44"/>
          <w:szCs w:val="44"/>
        </w:rPr>
        <w:t>绿植租</w:t>
      </w:r>
      <w:r>
        <w:rPr>
          <w:rFonts w:hint="eastAsia" w:ascii="方正小标宋简体" w:hAnsi="Calibri" w:eastAsia="方正小标宋简体" w:cs="Times New Roman"/>
          <w:sz w:val="44"/>
          <w:szCs w:val="44"/>
          <w:lang w:val="en-US" w:eastAsia="zh-CN"/>
        </w:rPr>
        <w:t>摆</w:t>
      </w:r>
      <w:r>
        <w:rPr>
          <w:rFonts w:hint="eastAsia" w:ascii="方正小标宋简体" w:hAnsi="Calibri" w:eastAsia="方正小标宋简体" w:cs="Times New Roman"/>
          <w:sz w:val="44"/>
          <w:szCs w:val="44"/>
        </w:rPr>
        <w:t>与</w:t>
      </w:r>
      <w:r>
        <w:rPr>
          <w:rFonts w:hint="eastAsia" w:ascii="方正小标宋简体" w:hAnsi="Calibri" w:eastAsia="方正小标宋简体" w:cs="Times New Roman"/>
          <w:sz w:val="44"/>
          <w:szCs w:val="44"/>
          <w:lang w:val="en-US" w:eastAsia="zh-CN"/>
        </w:rPr>
        <w:t>绿植</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Calibri" w:eastAsia="方正小标宋简体" w:cs="Times New Roman"/>
          <w:sz w:val="44"/>
          <w:szCs w:val="44"/>
          <w:lang w:eastAsia="zh-CN"/>
        </w:rPr>
      </w:pPr>
      <w:r>
        <w:rPr>
          <w:rFonts w:hint="eastAsia" w:ascii="方正小标宋简体" w:hAnsi="Calibri" w:eastAsia="方正小标宋简体" w:cs="Times New Roman"/>
          <w:sz w:val="44"/>
          <w:szCs w:val="44"/>
          <w:lang w:val="en-US" w:eastAsia="zh-CN"/>
        </w:rPr>
        <w:t>更换</w:t>
      </w:r>
      <w:bookmarkStart w:id="0" w:name="_GoBack"/>
      <w:r>
        <w:rPr>
          <w:rFonts w:hint="eastAsia" w:ascii="方正小标宋简体" w:hAnsi="Calibri" w:eastAsia="方正小标宋简体" w:cs="Times New Roman"/>
          <w:sz w:val="44"/>
          <w:szCs w:val="44"/>
          <w:lang w:val="en-US" w:eastAsia="zh-CN"/>
        </w:rPr>
        <w:t>项目需求书</w:t>
      </w:r>
    </w:p>
    <w:bookmarkEnd w:id="0"/>
    <w:p>
      <w:pPr>
        <w:rPr>
          <w:rFonts w:hint="eastAsia" w:ascii="仿宋_GB2312" w:hAnsi="Times New Roman" w:eastAsia="仿宋_GB2312" w:cs="Times New Roman"/>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龙华图书馆馆舍</w:t>
      </w:r>
      <w:r>
        <w:rPr>
          <w:rFonts w:hint="eastAsia" w:ascii="仿宋_GB2312" w:hAnsi="仿宋" w:eastAsia="仿宋_GB2312" w:cs="Times New Roman"/>
          <w:sz w:val="32"/>
          <w:szCs w:val="32"/>
          <w:lang w:val="en-US" w:eastAsia="zh-CN"/>
        </w:rPr>
        <w:t>管理面积超10000</w:t>
      </w:r>
      <w:r>
        <w:rPr>
          <w:rFonts w:hint="eastAsia" w:ascii="仿宋_GB2312" w:hAnsi="仿宋_GB2312" w:eastAsia="仿宋_GB2312" w:cs="仿宋_GB2312"/>
          <w:sz w:val="32"/>
          <w:szCs w:val="32"/>
          <w:lang w:val="en-US" w:eastAsia="zh-CN"/>
        </w:rPr>
        <w:t>㎡，包括馆舍主体</w:t>
      </w:r>
      <w:r>
        <w:rPr>
          <w:rFonts w:hint="eastAsia" w:ascii="仿宋_GB2312" w:hAnsi="仿宋" w:eastAsia="仿宋_GB2312" w:cs="Times New Roman"/>
          <w:sz w:val="32"/>
          <w:szCs w:val="32"/>
          <w:lang w:val="en-US" w:eastAsia="zh-CN"/>
        </w:rPr>
        <w:t>及外围广场、侧门消防通道、天台等区域。</w:t>
      </w:r>
      <w:r>
        <w:rPr>
          <w:rFonts w:hint="eastAsia" w:ascii="仿宋_GB2312" w:hAnsi="仿宋" w:eastAsia="仿宋_GB2312" w:cs="宋体"/>
          <w:sz w:val="32"/>
          <w:szCs w:val="32"/>
          <w:lang w:val="en-US" w:eastAsia="zh-CN"/>
        </w:rPr>
        <w:t>为不断提升龙华图书馆整体形象，持续营造良好的阅读氛围，同时进一步推进儿童友好图书馆建设，</w:t>
      </w:r>
      <w:r>
        <w:rPr>
          <w:rFonts w:hint="eastAsia" w:ascii="仿宋_GB2312" w:hAnsi="仿宋_GB2312" w:eastAsia="仿宋_GB2312" w:cs="仿宋_GB2312"/>
          <w:sz w:val="32"/>
          <w:szCs w:val="32"/>
          <w:lang w:val="en-US" w:eastAsia="zh-CN"/>
        </w:rPr>
        <w:t>现结合实际情况，拟开展龙华图书馆2023-2024年度绿植租摆与绿植更换项目。项目需求如下：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10" w:leftChars="0" w:firstLine="640" w:firstLineChars="0"/>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项目内容及要求</w:t>
      </w:r>
    </w:p>
    <w:tbl>
      <w:tblPr>
        <w:tblStyle w:val="3"/>
        <w:tblW w:w="9787"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970"/>
        <w:gridCol w:w="905"/>
        <w:gridCol w:w="1016"/>
        <w:gridCol w:w="3394"/>
        <w:gridCol w:w="703"/>
        <w:gridCol w:w="825"/>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服务类型</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规格要求</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服务频次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（按月计算）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0"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馆内绿植租摆（全年不间断服务）</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绿植造景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自助馆、二楼、九楼</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方形，尺寸约1.6MX0.8M，花器为SS304不锈钢材质，结合各楼层的布局及风格选用不同的绿植组成绿植景观，样式可选</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三楼至八楼</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方形，尺寸约1.6MX1.6M，花器为SS304不锈钢材质，结合各楼层的布局及风格选用不同的绿植组成绿植景观，样式可选</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书展造景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四楼、五楼、七楼</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异形，尺寸约2.5MX1.6M，花器为SS304不锈钢材质，整套造景融合绿植+书架，结合各楼层的布局及风格选用不同的绿植，搭配苔藓、造景石等组合成绿植+书展景观，样式可选</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绿植背景墙</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七楼</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尺寸约4.1MX6.25M，将整面墙打造成绿植背景墙，采用自动灌溉技术，结合七楼自然科学阅览区布局风格，形成独特绿植背景墙景观，样式可选</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绿植景观组合</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各楼层</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结合各楼层的布局及风格选用不同的绿植组合成高低错落的造型，样式可选</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花架组合</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读者楼梯转角</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防腐木花架，配喜阴绿植</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七楼捐赠换书中心</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铁艺屏风花架，半隔断，书架造型，尺寸1.2MX1.05M，顶部及空格配精美盆栽</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各类绿植盆栽</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全馆各楼层</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虎皮兰、散尾葵、一帆风顺、绿萝等大型盆栽，摆放在自助馆、母婴室、无障碍洗手间、各楼层洗手间、阅览室、办公室等区域</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各楼层书架、桌面</w:t>
            </w:r>
          </w:p>
        </w:tc>
        <w:tc>
          <w:tcPr>
            <w:tcW w:w="3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文竹、福禄桐、福建茶、小多肉、如意、百万心等小型盆栽</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0"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馆外绿植更换（按次服务）</w:t>
            </w:r>
          </w:p>
        </w:tc>
        <w:tc>
          <w:tcPr>
            <w:tcW w:w="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花箱绿植更换</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天台科普种植区</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已配备花箱，花箱尺寸约80cmX30cmX30~50cm，供应商根据活动安排或季节变化每季度至少更换1次绿植，种类包括蓝雪花、彩叶草、天竺葵、长春花、海棠花、菜苗、豆科作物、小番茄等时花或蔬果</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已配备花箱，花箱尺寸约80cmX30cmX15cm，供应商根据活动安排或季节变化每季度至少更换1次绿植，种类包括蓝雪花、彩叶草、天竺葵、长春花、海棠花、菜苗、豆科作物、小番茄等时花或蔬果</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草本绿植更换</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人行道绿化带</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供应商根据活动安排或季节变化每季度至少更换1次草本植物，种类包括红掌、栀子花、千日红等绿化带尺寸40MX0.6m</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花坛绿植景观</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广场两侧2处花坛</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左侧花坛尺寸约9.3MX2.7M，右侧花坛尺寸约4.8MX8.7M。供应商根据活动安排或季节变化每季度至少更换一批绿植，并搭配苔藓、造景石、草皮等设计造型，达到景观效果</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6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70" w:type="dxa"/>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90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立式花箱绿植更换</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广场入口处</w:t>
            </w:r>
          </w:p>
        </w:tc>
        <w:tc>
          <w:tcPr>
            <w:tcW w:w="339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5个立式花箱可摆放20盆绿植，用于装饰并阻挡电动自行车驶入广场区域，每两月至少更换1次</w:t>
            </w:r>
          </w:p>
        </w:tc>
        <w:tc>
          <w:tcPr>
            <w:tcW w:w="70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82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1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bl>
    <w:p>
      <w:pPr>
        <w:autoSpaceDE w:val="0"/>
        <w:spacing w:line="5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其他要求：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1.馆内绿植租摆全年不间断服务，由供应商负责管养、包换；馆外绿植更换由供应商负责定期更换并提供技术支持，图书馆物业人员负责日常管养。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提供的报价包括并不限于其所承担的税费、服务费、运输费、安装费、包装费、人工费、操作培训费以及合理的利润等，该报价一经确定中标即为合同采购价，除双方协商一致外，采购方不再额外支付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3.龙华图书馆现有绿植服务于2023年11月30日到期，中标供应商应与原服务供应商做好撤、布场的衔接工作。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4.本项目服务到期后，若采购方需要，供应商应负责完成撤场及绿植背景墙的墙面修复工作，具体以采购方需求为准。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二、项目周期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2023.12.1-2024.11.30，共12个月。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三、服务</w:t>
      </w:r>
      <w:r>
        <w:rPr>
          <w:rFonts w:hint="eastAsia" w:ascii="黑体" w:hAnsi="黑体" w:eastAsia="黑体" w:cs="黑体"/>
          <w:sz w:val="32"/>
          <w:szCs w:val="32"/>
          <w:lang w:eastAsia="zh-CN"/>
        </w:rPr>
        <w:t>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龙华图书馆</w:t>
      </w:r>
    </w:p>
    <w:p>
      <w:pPr>
        <w:keepNext w:val="0"/>
        <w:keepLines w:val="0"/>
        <w:pageBreakBefore w:val="0"/>
        <w:tabs>
          <w:tab w:val="left" w:pos="182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四、</w:t>
      </w:r>
      <w:r>
        <w:rPr>
          <w:rFonts w:hint="eastAsia" w:ascii="黑体" w:hAnsi="黑体" w:eastAsia="黑体" w:cs="黑体"/>
          <w:sz w:val="32"/>
          <w:szCs w:val="32"/>
          <w:highlight w:val="none"/>
          <w:lang w:eastAsia="zh-CN"/>
        </w:rPr>
        <w:t>报价限额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不超过33万元。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right="0" w:rightChars="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五、报名截止日期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default"/>
          <w:lang w:val="en-US" w:eastAsia="zh-CN"/>
        </w:rPr>
      </w:pPr>
      <w:r>
        <w:rPr>
          <w:rFonts w:hint="eastAsia" w:ascii="仿宋_GB2312" w:hAnsi="仿宋_GB2312" w:eastAsia="仿宋_GB2312" w:cs="仿宋_GB2312"/>
          <w:kern w:val="2"/>
          <w:sz w:val="32"/>
          <w:szCs w:val="32"/>
          <w:lang w:val="en-US" w:eastAsia="zh-CN" w:bidi="ar-SA"/>
        </w:rPr>
        <w:t>2023年10月30日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sz w:val="32"/>
          <w:szCs w:val="32"/>
          <w:highlight w:val="none"/>
          <w:lang w:val="en-US" w:eastAsia="zh-CN"/>
        </w:rPr>
      </w:pPr>
      <w:r>
        <w:rPr>
          <w:rFonts w:hint="eastAsia" w:ascii="黑体" w:hAnsi="黑体" w:eastAsia="黑体" w:cs="黑体"/>
          <w:b w:val="0"/>
          <w:bCs/>
          <w:sz w:val="32"/>
          <w:szCs w:val="32"/>
          <w:highlight w:val="none"/>
          <w:lang w:val="en-US" w:eastAsia="zh-CN"/>
        </w:rPr>
        <w:t>六、</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在中国境内注册的独立法人或其他组织（提供营业执照、事业法人证书、社会团体法人登记证书等扫描件）</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单位负责人为同一人或者存在直接控股、管理关系的不同供应商，不得同时参加本项目的采购活动。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outlineLvl w:val="9"/>
        <w:rPr>
          <w:rFonts w:hint="eastAsia" w:ascii="黑体" w:hAnsi="黑体" w:eastAsia="黑体" w:cs="黑体"/>
          <w:color w:val="auto"/>
          <w:sz w:val="32"/>
          <w:szCs w:val="32"/>
          <w:highlight w:val="none"/>
        </w:rPr>
      </w:pPr>
      <w:r>
        <w:rPr>
          <w:rFonts w:hint="eastAsia" w:ascii="黑体" w:hAnsi="黑体" w:eastAsia="黑体" w:cs="黑体"/>
          <w:b w:val="0"/>
          <w:bCs/>
          <w:kern w:val="2"/>
          <w:sz w:val="32"/>
          <w:szCs w:val="32"/>
          <w:highlight w:val="none"/>
          <w:lang w:val="en-US" w:eastAsia="zh-CN" w:bidi="ar-SA"/>
        </w:rPr>
        <w:t>七、</w:t>
      </w:r>
      <w:r>
        <w:rPr>
          <w:rFonts w:hint="eastAsia" w:ascii="黑体" w:hAnsi="黑体" w:eastAsia="黑体" w:cs="黑体"/>
          <w:color w:val="auto"/>
          <w:sz w:val="32"/>
          <w:szCs w:val="32"/>
          <w:highlight w:val="none"/>
          <w:lang w:eastAsia="zh-CN"/>
        </w:rPr>
        <w:t>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s="Times New Roman"/>
          <w:color w:val="auto"/>
          <w:sz w:val="32"/>
          <w:szCs w:val="22"/>
          <w:highlight w:val="none"/>
        </w:rPr>
      </w:pPr>
      <w:r>
        <w:rPr>
          <w:rFonts w:hint="eastAsia" w:ascii="仿宋_GB2312" w:hAnsi="仿宋" w:eastAsia="仿宋_GB2312" w:cs="Times New Roman"/>
          <w:color w:val="auto"/>
          <w:sz w:val="32"/>
          <w:szCs w:val="22"/>
          <w:highlight w:val="none"/>
          <w:lang w:eastAsia="zh-CN"/>
        </w:rPr>
        <w:t>综合评分</w:t>
      </w:r>
      <w:r>
        <w:rPr>
          <w:rFonts w:hint="eastAsia" w:ascii="仿宋_GB2312" w:hAnsi="仿宋" w:eastAsia="仿宋_GB2312" w:cs="Times New Roman"/>
          <w:color w:val="auto"/>
          <w:sz w:val="32"/>
          <w:szCs w:val="2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lang w:eastAsia="zh-CN"/>
        </w:rPr>
        <w:t>、评分要求</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b w:val="0"/>
          <w:bCs/>
          <w:color w:val="000000"/>
          <w:kern w:val="2"/>
          <w:sz w:val="32"/>
          <w:szCs w:val="32"/>
          <w:lang w:val="en-US" w:eastAsia="zh-CN" w:bidi="ar-SA"/>
        </w:rPr>
      </w:pPr>
      <w:r>
        <w:rPr>
          <w:rFonts w:hint="eastAsia" w:ascii="楷体" w:hAnsi="楷体" w:eastAsia="楷体" w:cs="楷体"/>
          <w:b w:val="0"/>
          <w:bCs/>
          <w:color w:val="000000"/>
          <w:kern w:val="2"/>
          <w:sz w:val="32"/>
          <w:szCs w:val="32"/>
          <w:lang w:val="en-US" w:eastAsia="zh-CN" w:bidi="ar-SA"/>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hAnsi="等线" w:eastAsia="仿宋_GB2312" w:cs="Times New Roman"/>
          <w:color w:val="000000"/>
          <w:sz w:val="32"/>
          <w:szCs w:val="32"/>
        </w:rPr>
        <w:t>采取综合评分标准，</w:t>
      </w:r>
      <w:r>
        <w:rPr>
          <w:rFonts w:hint="eastAsia" w:ascii="仿宋_GB2312" w:hAnsi="等线" w:eastAsia="仿宋_GB2312" w:cs="Times New Roman"/>
          <w:color w:val="000000"/>
          <w:sz w:val="32"/>
          <w:szCs w:val="32"/>
          <w:lang w:eastAsia="zh-CN"/>
        </w:rPr>
        <w:t>平均分</w:t>
      </w:r>
      <w:r>
        <w:rPr>
          <w:rFonts w:hint="eastAsia" w:ascii="仿宋_GB2312" w:hAnsi="等线" w:eastAsia="仿宋_GB2312" w:cs="Times New Roman"/>
          <w:color w:val="000000"/>
          <w:sz w:val="32"/>
          <w:szCs w:val="32"/>
        </w:rPr>
        <w:t>最高的投标人为本项目中标人。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b w:val="0"/>
          <w:bCs/>
          <w:color w:val="000000"/>
          <w:kern w:val="2"/>
          <w:sz w:val="32"/>
          <w:szCs w:val="32"/>
          <w:highlight w:val="none"/>
          <w:lang w:val="en-US" w:eastAsia="zh-CN" w:bidi="ar-SA"/>
        </w:rPr>
      </w:pPr>
      <w:r>
        <w:rPr>
          <w:rFonts w:hint="eastAsia" w:ascii="楷体" w:hAnsi="楷体" w:eastAsia="楷体" w:cs="楷体"/>
          <w:b w:val="0"/>
          <w:bCs/>
          <w:color w:val="000000"/>
          <w:kern w:val="2"/>
          <w:sz w:val="32"/>
          <w:szCs w:val="32"/>
          <w:highlight w:val="none"/>
          <w:lang w:val="en-US" w:eastAsia="zh-CN" w:bidi="ar-SA"/>
        </w:rPr>
        <w:t>（二）评分权重</w:t>
      </w:r>
    </w:p>
    <w:tbl>
      <w:tblPr>
        <w:tblStyle w:val="4"/>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296"/>
        <w:gridCol w:w="229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评分内容</w:t>
            </w:r>
          </w:p>
        </w:tc>
        <w:tc>
          <w:tcPr>
            <w:tcW w:w="22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报价</w:t>
            </w:r>
          </w:p>
        </w:tc>
        <w:tc>
          <w:tcPr>
            <w:tcW w:w="22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技术部分</w:t>
            </w:r>
          </w:p>
        </w:tc>
        <w:tc>
          <w:tcPr>
            <w:tcW w:w="24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分值</w:t>
            </w:r>
          </w:p>
        </w:tc>
        <w:tc>
          <w:tcPr>
            <w:tcW w:w="22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30分</w:t>
            </w:r>
          </w:p>
        </w:tc>
        <w:tc>
          <w:tcPr>
            <w:tcW w:w="22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35分</w:t>
            </w:r>
          </w:p>
        </w:tc>
        <w:tc>
          <w:tcPr>
            <w:tcW w:w="24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等线" w:eastAsia="仿宋_GB2312" w:cs="Times New Roman"/>
                <w:color w:val="000000"/>
                <w:kern w:val="2"/>
                <w:sz w:val="32"/>
                <w:szCs w:val="32"/>
                <w:lang w:val="en-US" w:eastAsia="zh-CN" w:bidi="ar-SA"/>
              </w:rPr>
            </w:pPr>
            <w:r>
              <w:rPr>
                <w:rFonts w:hint="eastAsia" w:ascii="仿宋_GB2312" w:hAnsi="等线" w:eastAsia="仿宋_GB2312" w:cs="Times New Roman"/>
                <w:color w:val="000000"/>
                <w:kern w:val="2"/>
                <w:sz w:val="32"/>
                <w:szCs w:val="32"/>
                <w:lang w:val="en-US" w:eastAsia="zh-CN" w:bidi="ar-SA"/>
              </w:rPr>
              <w:t>35分</w:t>
            </w:r>
          </w:p>
        </w:tc>
      </w:tr>
    </w:tbl>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Times New Roman"/>
          <w:b/>
          <w:color w:val="auto"/>
          <w:kern w:val="2"/>
          <w:sz w:val="32"/>
          <w:szCs w:val="32"/>
          <w:highlight w:val="none"/>
          <w:lang w:val="en-US" w:eastAsia="zh-CN" w:bidi="ar-SA"/>
        </w:rPr>
      </w:pPr>
      <w:r>
        <w:rPr>
          <w:rFonts w:hint="eastAsia" w:ascii="楷体" w:hAnsi="楷体" w:eastAsia="楷体" w:cs="楷体"/>
          <w:b w:val="0"/>
          <w:bCs/>
          <w:color w:val="auto"/>
          <w:kern w:val="2"/>
          <w:sz w:val="32"/>
          <w:szCs w:val="32"/>
          <w:highlight w:val="none"/>
          <w:lang w:val="en-US" w:eastAsia="zh-CN" w:bidi="ar-SA"/>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等线" w:eastAsia="仿宋_GB2312" w:cs="Times New Roman"/>
          <w:color w:val="auto"/>
          <w:sz w:val="32"/>
          <w:szCs w:val="32"/>
          <w:highlight w:val="none"/>
          <w:lang w:val="en-US" w:eastAsia="zh-CN"/>
        </w:rPr>
      </w:pPr>
      <w:r>
        <w:rPr>
          <w:rFonts w:hint="eastAsia" w:ascii="仿宋_GB2312" w:hAnsi="等线" w:eastAsia="仿宋_GB2312" w:cs="Times New Roman"/>
          <w:color w:val="auto"/>
          <w:sz w:val="32"/>
          <w:szCs w:val="32"/>
          <w:highlight w:val="none"/>
          <w:lang w:val="en-US" w:eastAsia="zh-CN"/>
        </w:rPr>
        <w:t>1.报价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s="Times New Roman"/>
          <w:color w:val="auto"/>
          <w:sz w:val="32"/>
          <w:szCs w:val="32"/>
          <w:highlight w:val="none"/>
          <w:lang w:val="en-US" w:eastAsia="zh-CN"/>
        </w:rPr>
      </w:pPr>
      <w:r>
        <w:rPr>
          <w:rFonts w:hint="eastAsia" w:ascii="仿宋_GB2312" w:hAnsi="等线" w:eastAsia="仿宋_GB2312" w:cs="Times New Roman"/>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hAnsi="等线" w:eastAsia="仿宋_GB2312" w:cs="Times New Roman"/>
          <w:color w:val="auto"/>
          <w:sz w:val="32"/>
          <w:szCs w:val="32"/>
          <w:highlight w:val="none"/>
        </w:rPr>
        <w:t>人所报的有效报价中的最低价作为基准报价。投标人报价得分=（基准价/投标人报价）*</w:t>
      </w:r>
      <w:r>
        <w:rPr>
          <w:rFonts w:hint="eastAsia" w:ascii="仿宋_GB2312" w:hAnsi="等线" w:eastAsia="仿宋_GB2312" w:cs="Times New Roman"/>
          <w:color w:val="000000"/>
          <w:sz w:val="32"/>
          <w:szCs w:val="32"/>
          <w:highlight w:val="none"/>
          <w:lang w:val="en-US" w:eastAsia="zh-CN"/>
        </w:rPr>
        <w:t>30</w:t>
      </w:r>
      <w:r>
        <w:rPr>
          <w:rFonts w:hint="eastAsia" w:ascii="仿宋_GB2312" w:hAnsi="等线" w:eastAsia="仿宋_GB2312" w:cs="Times New Roman"/>
          <w:color w:val="000000"/>
          <w:sz w:val="32"/>
          <w:szCs w:val="32"/>
          <w:highlight w:val="none"/>
          <w:lang w:eastAsia="zh-CN"/>
        </w:rPr>
        <w:t>分</w:t>
      </w:r>
      <w:r>
        <w:rPr>
          <w:rFonts w:hint="eastAsia" w:ascii="仿宋_GB2312" w:hAnsi="等线" w:eastAsia="仿宋_GB2312" w:cs="Times New Roman"/>
          <w:color w:val="000000"/>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等线" w:eastAsia="仿宋_GB2312" w:cs="Times New Roman"/>
          <w:color w:val="000000"/>
          <w:sz w:val="32"/>
          <w:szCs w:val="32"/>
          <w:lang w:val="en-US" w:eastAsia="zh-CN"/>
        </w:rPr>
      </w:pPr>
      <w:r>
        <w:rPr>
          <w:rFonts w:hint="eastAsia" w:ascii="仿宋_GB2312" w:hAnsi="等线" w:eastAsia="仿宋_GB2312" w:cs="Times New Roman"/>
          <w:color w:val="auto"/>
          <w:sz w:val="32"/>
          <w:szCs w:val="32"/>
          <w:highlight w:val="none"/>
          <w:lang w:val="en-US" w:eastAsia="zh-CN"/>
        </w:rPr>
        <w:t>2.技术部分</w:t>
      </w:r>
    </w:p>
    <w:tbl>
      <w:tblPr>
        <w:tblStyle w:val="3"/>
        <w:tblW w:w="931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63"/>
        <w:gridCol w:w="6300"/>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50" w:type="dxa"/>
            <w:gridSpan w:val="3"/>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val="en-US" w:eastAsia="zh-CN"/>
              </w:rPr>
              <w:t>内容</w:t>
            </w:r>
          </w:p>
        </w:tc>
        <w:tc>
          <w:tcPr>
            <w:tcW w:w="1062" w:type="dxa"/>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7"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技术部分</w:t>
            </w:r>
          </w:p>
        </w:tc>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w:t>
            </w: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投标人应根据采购文件服务需求内容，针对本项目编制详细的项目实施方案。</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987"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项目重点难点分析、应对措施及相关的合理化建议</w:t>
            </w: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投标人应根据采购文件服务需求内容，针对本项目编制详细的项目实施方案，方案内容须包括：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1.重点难点分析；2.应对措施；3.合理化建议。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lang w:val="en-US" w:eastAsia="zh-CN"/>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987"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质量保障措施及方案</w:t>
            </w: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投标人需针对本项目提供质量保证措施，方案内容须包括：按时按质交付完成服务保证措施。</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等线" w:eastAsia="仿宋_GB2312" w:cs="Times New Roman"/>
          <w:color w:val="auto"/>
          <w:sz w:val="32"/>
          <w:szCs w:val="32"/>
          <w:highlight w:val="none"/>
          <w:lang w:val="en-US" w:eastAsia="zh-CN"/>
        </w:rPr>
      </w:pPr>
      <w:r>
        <w:rPr>
          <w:rFonts w:hint="eastAsia" w:ascii="仿宋_GB2312" w:hAnsi="等线" w:eastAsia="仿宋_GB2312" w:cs="Times New Roman"/>
          <w:color w:val="auto"/>
          <w:sz w:val="32"/>
          <w:szCs w:val="32"/>
          <w:highlight w:val="none"/>
          <w:lang w:val="en-US" w:eastAsia="zh-CN"/>
        </w:rPr>
        <w:t>3.商务能力</w:t>
      </w:r>
    </w:p>
    <w:tbl>
      <w:tblPr>
        <w:tblStyle w:val="3"/>
        <w:tblW w:w="9324" w:type="dxa"/>
        <w:tblInd w:w="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7"/>
        <w:gridCol w:w="962"/>
        <w:gridCol w:w="6300"/>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3" w:hRule="atLeast"/>
        </w:trPr>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商务</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部分</w:t>
            </w:r>
          </w:p>
          <w:p>
            <w:pPr>
              <w:keepNext w:val="0"/>
              <w:keepLines w:val="0"/>
              <w:pageBreakBefore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color w:val="auto"/>
                <w:sz w:val="24"/>
                <w:szCs w:val="24"/>
                <w:highlight w:val="none"/>
                <w:vertAlign w:val="baseli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vertAlign w:val="baseline"/>
                <w:lang w:val="en-US" w:eastAsia="zh-CN"/>
              </w:rPr>
              <w:t>拟安排的项目负责人情况</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评审内容：</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 xml:space="preserve">拟安排项目负责人要求： </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1.具有大专以上学历，得2分；</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2.具有公园、学校、公共文体场馆等一年以上绿植养护经验，得3分；</w:t>
            </w:r>
          </w:p>
          <w:p>
            <w:pPr>
              <w:keepNext w:val="0"/>
              <w:keepLines w:val="0"/>
              <w:pageBreakBefore w:val="0"/>
              <w:numPr>
                <w:ilvl w:val="0"/>
                <w:numId w:val="0"/>
              </w:numPr>
              <w:kinsoku/>
              <w:wordWrap/>
              <w:overflowPunct/>
              <w:topLinePunct w:val="0"/>
              <w:autoSpaceDE/>
              <w:autoSpaceDN/>
              <w:bidi w:val="0"/>
              <w:spacing w:line="240" w:lineRule="auto"/>
              <w:ind w:left="0" w:leftChars="0" w:firstLine="0" w:firstLineChars="0"/>
              <w:jc w:val="left"/>
              <w:textAlignment w:val="auto"/>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vertAlign w:val="baseline"/>
                <w:lang w:val="en-US" w:eastAsia="zh-CN"/>
              </w:rPr>
              <w:t>3.具有养花师中级及以上资格证的，得5分；具有养花师初级资格证的，得2分；最高得5分。</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以上三项累计总分最高得10分。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同类项目业绩</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评审内容：</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 xml:space="preserve">自2021年1月1日起至本项目投标截止之日止（以合同签约时间为准），投标人提供一个同类业绩得5分，本项最高得分10分。 </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诚信评价</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投标人在参与政府采购活动中出现诚信相关问题且在相关主管部门处理措施实施期限内的本项不得分，否则得满分。</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提供《诚信承诺函》。</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服务承诺书和违约承诺书</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投标人应根据采购文件服务需求内容，针对本项目的服务承诺与违约承诺，承诺内容须包括：</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1.项目不符合违约承诺。</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2.时间延误时的违约承诺。</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3.人员按照招标文件及投标承诺配置的违约承诺。</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vertAlign w:val="baseline"/>
                <w:lang w:val="en-US" w:eastAsia="zh-CN"/>
              </w:rPr>
              <w:t>4.服务期内外的服务承诺等。</w:t>
            </w:r>
            <w:r>
              <w:rPr>
                <w:rFonts w:hint="eastAsia" w:ascii="仿宋_GB2312" w:hAnsi="仿宋_GB2312" w:eastAsia="仿宋_GB2312" w:cs="仿宋_GB2312"/>
                <w:b w:val="0"/>
                <w:bCs/>
                <w:color w:val="auto"/>
                <w:sz w:val="24"/>
                <w:szCs w:val="24"/>
                <w:highlight w:val="none"/>
                <w:vertAlign w:val="baseli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项目服务承诺书和违约承诺书，</w:t>
            </w:r>
            <w:r>
              <w:rPr>
                <w:rFonts w:hint="eastAsia" w:ascii="仿宋_GB2312" w:hAnsi="仿宋_GB2312" w:eastAsia="仿宋_GB2312" w:cs="仿宋_GB2312"/>
                <w:b w:val="0"/>
                <w:bCs/>
                <w:color w:val="auto"/>
                <w:sz w:val="24"/>
                <w:szCs w:val="24"/>
                <w:highlight w:val="none"/>
                <w:vertAlign w:val="baseline"/>
                <w:lang w:val="en-US" w:eastAsia="zh-CN"/>
              </w:rPr>
              <w:t>响应的承诺书一份得5分，本项最高得10分；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等线" w:eastAsia="仿宋_GB2312" w:cs="Times New Roman"/>
          <w:color w:val="000000"/>
          <w:sz w:val="32"/>
          <w:szCs w:val="32"/>
        </w:rPr>
      </w:pPr>
      <w:r>
        <w:rPr>
          <w:rFonts w:hint="eastAsia" w:ascii="仿宋_GB2312" w:hAnsi="等线" w:eastAsia="仿宋_GB2312" w:cs="Times New Roman"/>
          <w:color w:val="000000"/>
          <w:sz w:val="32"/>
          <w:szCs w:val="32"/>
          <w:lang w:eastAsia="zh-CN"/>
        </w:rPr>
        <w:t>注：</w:t>
      </w:r>
      <w:r>
        <w:rPr>
          <w:rFonts w:hint="eastAsia" w:ascii="仿宋_GB2312" w:hAnsi="等线" w:eastAsia="仿宋_GB2312" w:cs="Times New Roman"/>
          <w:color w:val="000000"/>
          <w:sz w:val="32"/>
          <w:szCs w:val="32"/>
          <w:lang w:val="en-US" w:eastAsia="zh-CN"/>
        </w:rPr>
        <w:t>未</w:t>
      </w:r>
      <w:r>
        <w:rPr>
          <w:rFonts w:hint="eastAsia" w:ascii="仿宋_GB2312" w:hAnsi="等线" w:eastAsia="仿宋_GB2312" w:cs="Times New Roman"/>
          <w:color w:val="000000"/>
          <w:sz w:val="32"/>
          <w:szCs w:val="32"/>
        </w:rPr>
        <w:t>提供证明文件或提供的证明文件不合格，不得分。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等线"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注：供应商需邮寄5份密封纸质版投标资料至本单位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w:t>
      </w:r>
      <w:r>
        <w:rPr>
          <w:rFonts w:hint="eastAsia" w:ascii="仿宋_GB2312" w:hAnsi="仿宋" w:eastAsia="仿宋_GB2312" w:cs="仿宋"/>
          <w:sz w:val="32"/>
          <w:szCs w:val="32"/>
          <w:lang w:val="en-US" w:eastAsia="zh-CN"/>
        </w:rPr>
        <w:t>深圳市龙华区维雅德大厦富康行政办公区</w:t>
      </w:r>
    </w:p>
    <w:p>
      <w:pPr>
        <w:keepNext w:val="0"/>
        <w:keepLines w:val="0"/>
        <w:pageBreakBefore w:val="0"/>
        <w:widowControl w:val="0"/>
        <w:tabs>
          <w:tab w:val="left" w:pos="426"/>
        </w:tabs>
        <w:kinsoku/>
        <w:wordWrap/>
        <w:overflowPunct/>
        <w:topLinePunct w:val="0"/>
        <w:autoSpaceDE/>
        <w:autoSpaceDN/>
        <w:bidi w:val="0"/>
        <w:adjustRightInd/>
        <w:snapToGrid/>
        <w:spacing w:after="0" w:line="560" w:lineRule="exact"/>
        <w:ind w:left="0" w:leftChars="0" w:right="0" w:rightChars="0" w:firstLine="640" w:firstLineChars="200"/>
        <w:jc w:val="both"/>
        <w:textAlignment w:val="auto"/>
      </w:pPr>
      <w:r>
        <w:rPr>
          <w:rFonts w:hint="eastAsia" w:ascii="仿宋_GB2312" w:hAnsi="仿宋_GB2312" w:eastAsia="仿宋_GB2312" w:cs="仿宋_GB2312"/>
          <w:color w:val="auto"/>
          <w:kern w:val="2"/>
          <w:sz w:val="32"/>
          <w:szCs w:val="32"/>
          <w:highlight w:val="none"/>
          <w:lang w:val="en-US" w:eastAsia="zh-CN" w:bidi="ar-SA"/>
        </w:rPr>
        <w:t>电话：</w:t>
      </w:r>
      <w:r>
        <w:rPr>
          <w:rFonts w:hint="eastAsia" w:ascii="仿宋_GB2312" w:hAnsi="仿宋" w:eastAsia="仿宋_GB2312" w:cs="Times New Roman"/>
          <w:color w:val="auto"/>
          <w:kern w:val="2"/>
          <w:sz w:val="32"/>
          <w:szCs w:val="22"/>
          <w:highlight w:val="none"/>
          <w:lang w:val="en-US" w:eastAsia="zh-CN" w:bidi="ar-SA"/>
        </w:rPr>
        <w:t>0755-23338140   收件人：吴先生</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C4360"/>
    <w:multiLevelType w:val="singleLevel"/>
    <w:tmpl w:val="5D2C4360"/>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YTZhNzU3MGRkMmVjN2Y0MjMyMWQwNGU0YTdlNWMifQ=="/>
  </w:docVars>
  <w:rsids>
    <w:rsidRoot w:val="18A37A61"/>
    <w:rsid w:val="18A3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_GB2312" w:cs="Times New Roman"/>
      <w:sz w:val="32"/>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2023-10-26T03:30:00Z</dcterms:created>
  <dc:creator>王婧祎</dc:creator>
  <cp:lastModifiedBy>王婧祎</cp:lastModifiedBy>
  <dcterms:modified xsi:type="dcterms:W3CDTF">2023-10-26T03:31:26Z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552A00FE24EE46F5B459775365679B5A_11</vt:lpwstr>
  </property>
</Properties>
</file>