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04"/>
        <w:gridCol w:w="1200"/>
        <w:gridCol w:w="1215"/>
        <w:gridCol w:w="1350"/>
        <w:gridCol w:w="1530"/>
        <w:gridCol w:w="1335"/>
        <w:gridCol w:w="1021"/>
        <w:gridCol w:w="85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35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28"/>
                <w:szCs w:val="2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项目编码：</w:t>
            </w:r>
          </w:p>
        </w:tc>
        <w:tc>
          <w:tcPr>
            <w:tcW w:w="24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440309210901500006003</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大数据管理工作</w:t>
            </w:r>
          </w:p>
        </w:tc>
        <w:tc>
          <w:tcPr>
            <w:tcW w:w="133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绩效自评年度：</w:t>
            </w:r>
          </w:p>
        </w:tc>
        <w:tc>
          <w:tcPr>
            <w:tcW w:w="27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实施单位：</w:t>
            </w:r>
          </w:p>
        </w:tc>
        <w:tc>
          <w:tcPr>
            <w:tcW w:w="2415" w:type="dxa"/>
            <w:gridSpan w:val="2"/>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深圳市龙华区政务服务数据管理局</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一级预算单位：</w:t>
            </w:r>
          </w:p>
        </w:tc>
        <w:tc>
          <w:tcPr>
            <w:tcW w:w="558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深圳市龙华区政务服务数据管理局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351" w:type="dxa"/>
            <w:gridSpan w:val="9"/>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资金使用情况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年初预算数</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全年预算数</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全年执行数</w:t>
            </w:r>
          </w:p>
        </w:tc>
        <w:tc>
          <w:tcPr>
            <w:tcW w:w="133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分值</w:t>
            </w:r>
          </w:p>
        </w:tc>
        <w:tc>
          <w:tcPr>
            <w:tcW w:w="10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执行率（%）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项目资金（元）</w:t>
            </w:r>
          </w:p>
        </w:tc>
        <w:tc>
          <w:tcPr>
            <w:tcW w:w="12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年度资金总额</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4733500.00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4420129.80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4414685.68</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99.8800</w:t>
            </w:r>
          </w:p>
        </w:tc>
        <w:tc>
          <w:tcPr>
            <w:tcW w:w="16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其中：当年财政拨款</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4733500.00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4420129.80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4414685.68</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6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上年结转资金</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6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其他资金</w:t>
            </w:r>
          </w:p>
        </w:tc>
        <w:tc>
          <w:tcPr>
            <w:tcW w:w="1215"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350"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530"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335"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021"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695" w:type="dxa"/>
            <w:gridSpan w:val="2"/>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351" w:type="dxa"/>
            <w:gridSpan w:val="9"/>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年度总体目标</w:t>
            </w:r>
          </w:p>
        </w:tc>
        <w:tc>
          <w:tcPr>
            <w:tcW w:w="5295" w:type="dxa"/>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预期目标</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5295" w:type="dxa"/>
            <w:gridSpan w:val="4"/>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1.统一社会信用代码数据库、龙华区政务服务数据月报数据稳定更新；</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2.通过保障政务服务数据归集和可视化展示，及时动态反馈政务服务运行情况；</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3.对大数据管理中心办公场所进行综合管理，提供良好办公环境。</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4.保障物联感知平台正常运行。</w:t>
            </w:r>
          </w:p>
        </w:tc>
        <w:tc>
          <w:tcPr>
            <w:tcW w:w="4051" w:type="dxa"/>
            <w:gridSpan w:val="4"/>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1.统一社会信用代码数据库：统一社会信用代码数据库每月稳定更新，用于持续更新我区法人基础数据库，并通过大数据平台共享给经济大脑平台、数字孪生平台、人才大数据平台等系统。</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龙华区政务服务数据月报数据稳定更新，2022年共完成12期政务服务数据月报，为龙华高质量发展营造良好的政务环境；</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2.保障IOC政务服务数据分析和可视化运维，全面利用平台建设和管理优势，收集分析政务服务业务数据在IOC大屏实时展示，以数据形式全面展现政务服务办理情况和企业群众诉求，助力政务服务改革。”</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3.经向驻点在电信大厦大数据管理中心办公场所办公的 38名工作人员进行满意度问卷调查，其中30名表示满意，8名表示基本满意，满意度100%，为电信大厦大数据管理中心办公场所工作人员提供了良好的办公环境。</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4.物联感知平台：已根据合同要求提供物联感知平台，并提供相关运维服务保障平台的正常运行。2022年约新增接入3000个物联感知设备（累计约接入达27.7万个），为环水、消防、边坡等相关业务系统提供了数据支撑，实现对城市物联感知设备的统一接入和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年度绩效指标</w:t>
            </w:r>
          </w:p>
        </w:tc>
        <w:tc>
          <w:tcPr>
            <w:tcW w:w="12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二级指标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三级指标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年度指标值</w:t>
            </w:r>
          </w:p>
        </w:tc>
        <w:tc>
          <w:tcPr>
            <w:tcW w:w="133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实际完成值</w:t>
            </w:r>
          </w:p>
        </w:tc>
        <w:tc>
          <w:tcPr>
            <w:tcW w:w="10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分值</w:t>
            </w:r>
          </w:p>
        </w:tc>
        <w:tc>
          <w:tcPr>
            <w:tcW w:w="85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得分</w:t>
            </w:r>
          </w:p>
        </w:tc>
        <w:tc>
          <w:tcPr>
            <w:tcW w:w="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产出</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(50分)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数量</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政务服务数据月报</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12期</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12期</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6.25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6.25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接入物联感知设备</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23万个</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27.7万个</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6.25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6.25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质量</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统一社会信用代码数据库数据更新稳定性</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能够每月更新</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能够每月更新</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12.50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12.50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时效</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服务项目完成及时率</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100%</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12.50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12.50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成本</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统一社会信用代码数据库服务项目合同金额</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≤10万元</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10万元</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6.25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6.25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物联网平台服务项目合同金额</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≤95万元</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94.86万元</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6.25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6.25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效益</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(30分)</w:t>
            </w: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经济效益</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社会效益</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政务服务事项可掌上申办，为群众办事提供便利</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80%（含）以上政务服务事项可掌上办理</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92.65%政务服务事项可掌上办理</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30.00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30.00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生态效益</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可持续影响</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满意度</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(10分)</w:t>
            </w: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电信大厦大数据管理中心办公场所办公环境满意度</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满意</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100%满意</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其他满意度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无</w:t>
            </w:r>
          </w:p>
        </w:tc>
        <w:tc>
          <w:tcPr>
            <w:tcW w:w="15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无</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p>
        </w:tc>
        <w:tc>
          <w:tcPr>
            <w:tcW w:w="6630"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r>
              <w:rPr>
                <w:rFonts w:hint="eastAsia" w:ascii="等线" w:hAnsi="等线" w:eastAsia="等线" w:cs="等线"/>
                <w:b w:val="0"/>
                <w:bCs w:val="0"/>
                <w:i w:val="0"/>
                <w:iCs w:val="0"/>
                <w:color w:val="333333"/>
                <w:kern w:val="0"/>
                <w:sz w:val="18"/>
                <w:szCs w:val="18"/>
                <w:u w:val="none"/>
                <w:lang w:val="en-US" w:eastAsia="zh-CN" w:bidi="ar"/>
              </w:rPr>
              <w:t>总分</w:t>
            </w:r>
          </w:p>
        </w:tc>
        <w:tc>
          <w:tcPr>
            <w:tcW w:w="102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r>
              <w:rPr>
                <w:rFonts w:hint="eastAsia" w:ascii="等线" w:hAnsi="等线" w:eastAsia="等线" w:cs="等线"/>
                <w:b w:val="0"/>
                <w:bCs w:val="0"/>
                <w:i w:val="0"/>
                <w:iCs w:val="0"/>
                <w:color w:val="333333"/>
                <w:kern w:val="0"/>
                <w:sz w:val="18"/>
                <w:szCs w:val="18"/>
                <w:u w:val="none"/>
                <w:lang w:val="en-US" w:eastAsia="zh-CN" w:bidi="ar"/>
              </w:rPr>
              <w:t xml:space="preserve">100.00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r>
              <w:rPr>
                <w:rFonts w:hint="eastAsia" w:ascii="等线" w:hAnsi="等线" w:eastAsia="等线" w:cs="等线"/>
                <w:b w:val="0"/>
                <w:bCs w:val="0"/>
                <w:i w:val="0"/>
                <w:iCs w:val="0"/>
                <w:color w:val="333333"/>
                <w:kern w:val="0"/>
                <w:sz w:val="18"/>
                <w:szCs w:val="18"/>
                <w:u w:val="none"/>
                <w:lang w:val="en-US" w:eastAsia="zh-CN" w:bidi="ar"/>
              </w:rPr>
              <w:t xml:space="preserve">99.99 </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r>
              <w:rPr>
                <w:rFonts w:hint="eastAsia" w:ascii="等线" w:hAnsi="等线" w:eastAsia="等线" w:cs="等线"/>
                <w:b w:val="0"/>
                <w:bCs w:val="0"/>
                <w:i w:val="0"/>
                <w:iCs w:val="0"/>
                <w:color w:val="333333"/>
                <w:kern w:val="0"/>
                <w:sz w:val="18"/>
                <w:szCs w:val="18"/>
                <w:u w:val="none"/>
                <w:lang w:val="en-US" w:eastAsia="zh-CN" w:bidi="ar"/>
              </w:rPr>
              <w:t>—</w:t>
            </w:r>
          </w:p>
        </w:tc>
      </w:tr>
    </w:tbl>
    <w:p>
      <w:pPr>
        <w:keepNext w:val="0"/>
        <w:keepLines w:val="0"/>
        <w:widowControl/>
        <w:suppressLineNumbers w:val="0"/>
        <w:jc w:val="center"/>
        <w:textAlignment w:val="center"/>
        <w:rPr>
          <w:rFonts w:hint="default"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default"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default"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default"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both"/>
        <w:textAlignment w:val="center"/>
        <w:rPr>
          <w:rFonts w:hint="default" w:ascii="等线" w:hAnsi="等线" w:eastAsia="等线" w:cs="等线"/>
          <w:b/>
          <w:bCs/>
          <w:i w:val="0"/>
          <w:iCs w:val="0"/>
          <w:color w:val="000000"/>
          <w:kern w:val="0"/>
          <w:sz w:val="40"/>
          <w:szCs w:val="40"/>
          <w:u w:val="none"/>
          <w:bdr w:val="none" w:color="auto" w:sz="0" w:space="0"/>
          <w:lang w:val="en-US" w:eastAsia="zh-CN" w:bidi="ar"/>
        </w:rPr>
      </w:pPr>
    </w:p>
    <w:tbl>
      <w:tblPr>
        <w:tblW w:w="10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6"/>
        <w:gridCol w:w="1001"/>
        <w:gridCol w:w="1470"/>
        <w:gridCol w:w="1579"/>
        <w:gridCol w:w="1167"/>
        <w:gridCol w:w="1515"/>
        <w:gridCol w:w="1014"/>
        <w:gridCol w:w="850"/>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0335"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等线" w:hAnsi="等线" w:eastAsia="等线" w:cs="等线"/>
                <w:b/>
                <w:bCs/>
                <w:i w:val="0"/>
                <w:iCs w:val="0"/>
                <w:color w:val="000000"/>
                <w:sz w:val="40"/>
                <w:szCs w:val="40"/>
                <w:u w:val="none"/>
              </w:rPr>
            </w:pPr>
            <w:r>
              <w:rPr>
                <w:rFonts w:hint="default" w:ascii="等线" w:hAnsi="等线" w:eastAsia="等线" w:cs="等线"/>
                <w:b/>
                <w:bCs/>
                <w:i w:val="0"/>
                <w:iCs w:val="0"/>
                <w:color w:val="000000"/>
                <w:kern w:val="0"/>
                <w:sz w:val="28"/>
                <w:szCs w:val="2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项目编码：</w:t>
            </w:r>
          </w:p>
        </w:tc>
        <w:tc>
          <w:tcPr>
            <w:tcW w:w="24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440309210901500006144</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项目名称：</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党建及机关队伍建设（工青妇经费）</w:t>
            </w:r>
          </w:p>
        </w:tc>
        <w:tc>
          <w:tcPr>
            <w:tcW w:w="15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绩效自评年度：</w:t>
            </w:r>
          </w:p>
        </w:tc>
        <w:tc>
          <w:tcPr>
            <w:tcW w:w="254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实施单位：</w:t>
            </w:r>
          </w:p>
        </w:tc>
        <w:tc>
          <w:tcPr>
            <w:tcW w:w="2471" w:type="dxa"/>
            <w:gridSpan w:val="2"/>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深圳市龙华区政务服务数据管理局</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一级预算单位：</w:t>
            </w:r>
          </w:p>
        </w:tc>
        <w:tc>
          <w:tcPr>
            <w:tcW w:w="522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深圳市龙华区政务服务数据管理局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0335" w:type="dxa"/>
            <w:gridSpan w:val="9"/>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资金使用情况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0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年初预算数</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全年预算数</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全年执行数</w:t>
            </w:r>
          </w:p>
        </w:tc>
        <w:tc>
          <w:tcPr>
            <w:tcW w:w="15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分值</w:t>
            </w:r>
          </w:p>
        </w:tc>
        <w:tc>
          <w:tcPr>
            <w:tcW w:w="101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执行率（%）</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项目资金（元）</w:t>
            </w:r>
          </w:p>
        </w:tc>
        <w:tc>
          <w:tcPr>
            <w:tcW w:w="10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年度资金总额</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1000000.00</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1231000.00</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1214730.39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98.68</w:t>
            </w:r>
          </w:p>
        </w:tc>
        <w:tc>
          <w:tcPr>
            <w:tcW w:w="15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0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其中：当年财政拨款</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1000000.00</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1231000.00</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1214730.39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5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0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上年结转资金</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5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001"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其他资金</w:t>
            </w:r>
          </w:p>
        </w:tc>
        <w:tc>
          <w:tcPr>
            <w:tcW w:w="1470"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579"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167"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515"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014"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533" w:type="dxa"/>
            <w:gridSpan w:val="2"/>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335" w:type="dxa"/>
            <w:gridSpan w:val="9"/>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年度总体目标</w:t>
            </w:r>
          </w:p>
        </w:tc>
        <w:tc>
          <w:tcPr>
            <w:tcW w:w="5217" w:type="dxa"/>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预期目标</w:t>
            </w:r>
          </w:p>
        </w:tc>
        <w:tc>
          <w:tcPr>
            <w:tcW w:w="4062" w:type="dxa"/>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5217" w:type="dxa"/>
            <w:gridSpan w:val="4"/>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保障全年工会会员福利及权益，保障文体活动及党建活动正常开展，努力实现机关党建精细化管理，特色化发展，规范化运行。</w:t>
            </w:r>
          </w:p>
        </w:tc>
        <w:tc>
          <w:tcPr>
            <w:tcW w:w="4062" w:type="dxa"/>
            <w:gridSpan w:val="4"/>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区政务服务数据管理局党总支在区委的正确领导下，在区直机关工委的关心指导下，一是切实保障全年工会会员福利及权益，在春节、端午节、中秋节3个节日为全体工会会员购买慰问品约计31.7万元；二是保障党建等活动正常开展，为职工购买学习书籍等。提升了工会会员工作、生活幸福感，并努力实现了机关党建精细化管理、特色化发展、规范化运行，更好地发动党组织及党员干部走前头、作表率，以落实全面从严治党为主线，主动适应新常态，完善我局工青妇队伍建设，推动上级党组织决策部署在机关落地见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年度绩效指标</w:t>
            </w:r>
          </w:p>
        </w:tc>
        <w:tc>
          <w:tcPr>
            <w:tcW w:w="10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一级指标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二级指标</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三级指标</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年度指标值</w:t>
            </w:r>
          </w:p>
        </w:tc>
        <w:tc>
          <w:tcPr>
            <w:tcW w:w="151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实际完成值</w:t>
            </w:r>
          </w:p>
        </w:tc>
        <w:tc>
          <w:tcPr>
            <w:tcW w:w="101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分值</w:t>
            </w:r>
          </w:p>
        </w:tc>
        <w:tc>
          <w:tcPr>
            <w:tcW w:w="8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得分</w:t>
            </w:r>
          </w:p>
        </w:tc>
        <w:tc>
          <w:tcPr>
            <w:tcW w:w="68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产出</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(50分)</w:t>
            </w: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数量</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享受工会福利的职工范围</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全体职工</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全体职工</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12.50 </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12.50 </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质量</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货物类未出现包装破损、过保及质量等问题；服务类项目服务内容和质量符合要</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验收合格</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验收合格</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12.50 </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12.50 </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val="0"/>
                <w:bCs w:val="0"/>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时效</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货品配送和服务项目完成的及时率</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100%</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 xml:space="preserve">12.50 </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 xml:space="preserve">12.50 </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bCs/>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val="0"/>
                <w:bCs w:val="0"/>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成本</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工会节日慰问费用</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≤32万元</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31.66609万元</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 xml:space="preserve">12.50 </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 xml:space="preserve">12.50 </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bCs/>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000000"/>
                <w:sz w:val="18"/>
                <w:szCs w:val="18"/>
                <w:u w:val="none"/>
              </w:rPr>
            </w:pPr>
            <w:r>
              <w:rPr>
                <w:rFonts w:hint="default" w:ascii="等线" w:hAnsi="等线" w:eastAsia="等线" w:cs="等线"/>
                <w:b w:val="0"/>
                <w:bCs w:val="0"/>
                <w:i w:val="0"/>
                <w:iCs w:val="0"/>
                <w:color w:val="000000"/>
                <w:kern w:val="0"/>
                <w:sz w:val="18"/>
                <w:szCs w:val="18"/>
                <w:u w:val="none"/>
                <w:bdr w:val="none" w:color="auto" w:sz="0" w:space="0"/>
                <w:lang w:val="en-US" w:eastAsia="zh-CN" w:bidi="ar"/>
              </w:rPr>
              <w:t>效益</w:t>
            </w:r>
            <w:r>
              <w:rPr>
                <w:rFonts w:hint="default" w:ascii="等线" w:hAnsi="等线" w:eastAsia="等线" w:cs="等线"/>
                <w:b w:val="0"/>
                <w:bCs w:val="0"/>
                <w:i w:val="0"/>
                <w:iCs w:val="0"/>
                <w:color w:val="000000"/>
                <w:kern w:val="0"/>
                <w:sz w:val="18"/>
                <w:szCs w:val="18"/>
                <w:u w:val="none"/>
                <w:bdr w:val="none" w:color="auto" w:sz="0" w:space="0"/>
                <w:lang w:val="en-US" w:eastAsia="zh-CN" w:bidi="ar"/>
              </w:rPr>
              <w:br w:type="textWrapping"/>
            </w:r>
            <w:r>
              <w:rPr>
                <w:rFonts w:hint="default" w:ascii="等线" w:hAnsi="等线" w:eastAsia="等线" w:cs="等线"/>
                <w:b w:val="0"/>
                <w:bCs w:val="0"/>
                <w:i w:val="0"/>
                <w:iCs w:val="0"/>
                <w:color w:val="000000"/>
                <w:kern w:val="0"/>
                <w:sz w:val="18"/>
                <w:szCs w:val="18"/>
                <w:u w:val="none"/>
                <w:bdr w:val="none" w:color="auto" w:sz="0" w:space="0"/>
                <w:lang w:val="en-US" w:eastAsia="zh-CN" w:bidi="ar"/>
              </w:rPr>
              <w:t>(30分)</w:t>
            </w: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经济效益</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不适用</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不适用</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不适用</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bCs/>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val="0"/>
                <w:bCs w:val="0"/>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社会效益</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工会成员工作、生活幸福感</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有所提高</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工会成员工作、生活幸福感有所提高,100%完成目标</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 xml:space="preserve">30.00 </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 xml:space="preserve">30.00 </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bCs/>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val="0"/>
                <w:bCs w:val="0"/>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生态效益</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不适用</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不适用</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不适用</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bCs/>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val="0"/>
                <w:bCs w:val="0"/>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可持续影响</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不适用</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不适用</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不适用</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bCs/>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000000"/>
                <w:sz w:val="18"/>
                <w:szCs w:val="18"/>
                <w:u w:val="none"/>
              </w:rPr>
            </w:pPr>
            <w:r>
              <w:rPr>
                <w:rFonts w:hint="default" w:ascii="等线" w:hAnsi="等线" w:eastAsia="等线" w:cs="等线"/>
                <w:b w:val="0"/>
                <w:bCs w:val="0"/>
                <w:i w:val="0"/>
                <w:iCs w:val="0"/>
                <w:color w:val="000000"/>
                <w:kern w:val="0"/>
                <w:sz w:val="18"/>
                <w:szCs w:val="18"/>
                <w:u w:val="none"/>
                <w:bdr w:val="none" w:color="auto" w:sz="0" w:space="0"/>
                <w:lang w:val="en-US" w:eastAsia="zh-CN" w:bidi="ar"/>
              </w:rPr>
              <w:t>满意度</w:t>
            </w:r>
            <w:r>
              <w:rPr>
                <w:rFonts w:hint="default" w:ascii="等线" w:hAnsi="等线" w:eastAsia="等线" w:cs="等线"/>
                <w:b w:val="0"/>
                <w:bCs w:val="0"/>
                <w:i w:val="0"/>
                <w:iCs w:val="0"/>
                <w:color w:val="000000"/>
                <w:kern w:val="0"/>
                <w:sz w:val="18"/>
                <w:szCs w:val="18"/>
                <w:u w:val="none"/>
                <w:bdr w:val="none" w:color="auto" w:sz="0" w:space="0"/>
                <w:lang w:val="en-US" w:eastAsia="zh-CN" w:bidi="ar"/>
              </w:rPr>
              <w:br w:type="textWrapping"/>
            </w:r>
            <w:r>
              <w:rPr>
                <w:rFonts w:hint="default" w:ascii="等线" w:hAnsi="等线" w:eastAsia="等线" w:cs="等线"/>
                <w:b w:val="0"/>
                <w:bCs w:val="0"/>
                <w:i w:val="0"/>
                <w:iCs w:val="0"/>
                <w:color w:val="000000"/>
                <w:kern w:val="0"/>
                <w:sz w:val="18"/>
                <w:szCs w:val="18"/>
                <w:u w:val="none"/>
                <w:bdr w:val="none" w:color="auto" w:sz="0" w:space="0"/>
                <w:lang w:val="en-US" w:eastAsia="zh-CN" w:bidi="ar"/>
              </w:rPr>
              <w:t>(10分)</w:t>
            </w: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服务对象满意度</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工会会员满意度指标</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100%</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 xml:space="preserve">10.00 </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 xml:space="preserve">10.00 </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bCs/>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val="0"/>
                <w:bCs w:val="0"/>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其他满意度</w:t>
            </w:r>
          </w:p>
        </w:tc>
        <w:tc>
          <w:tcPr>
            <w:tcW w:w="1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无</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无</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无</w:t>
            </w:r>
          </w:p>
        </w:tc>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sz w:val="18"/>
                <w:szCs w:val="18"/>
                <w:u w:val="none"/>
              </w:rPr>
            </w:pPr>
            <w:r>
              <w:rPr>
                <w:rFonts w:hint="default" w:ascii="等线" w:hAnsi="等线" w:eastAsia="等线" w:cs="等线"/>
                <w:b w:val="0"/>
                <w:bCs w:val="0"/>
                <w:i w:val="0"/>
                <w:iCs w:val="0"/>
                <w:color w:val="333333"/>
                <w:kern w:val="0"/>
                <w:sz w:val="18"/>
                <w:szCs w:val="18"/>
                <w:u w:val="none"/>
                <w:bdr w:val="none" w:color="auto" w:sz="0" w:space="0"/>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b/>
                <w:bCs/>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D9D9D9"/>
            <w:vAlign w:val="bottom"/>
          </w:tcPr>
          <w:p>
            <w:pPr>
              <w:keepNext w:val="0"/>
              <w:keepLines w:val="0"/>
              <w:pageBreakBefore w:val="0"/>
              <w:kinsoku/>
              <w:wordWrap/>
              <w:overflowPunct/>
              <w:topLinePunct w:val="0"/>
              <w:autoSpaceDE/>
              <w:autoSpaceDN/>
              <w:bidi w:val="0"/>
              <w:adjustRightInd/>
              <w:snapToGrid/>
              <w:spacing w:line="240" w:lineRule="exact"/>
              <w:rPr>
                <w:rFonts w:hint="eastAsia" w:ascii="微软雅黑" w:hAnsi="微软雅黑" w:eastAsia="微软雅黑" w:cs="微软雅黑"/>
                <w:i w:val="0"/>
                <w:iCs w:val="0"/>
                <w:color w:val="000000"/>
                <w:sz w:val="18"/>
                <w:szCs w:val="18"/>
                <w:u w:val="none"/>
              </w:rPr>
            </w:pPr>
          </w:p>
        </w:tc>
        <w:tc>
          <w:tcPr>
            <w:tcW w:w="6732"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bdr w:val="none" w:color="auto" w:sz="0" w:space="0"/>
                <w:lang w:val="en-US" w:eastAsia="zh-CN" w:bidi="ar"/>
              </w:rPr>
              <w:t>总分</w:t>
            </w:r>
          </w:p>
        </w:tc>
        <w:tc>
          <w:tcPr>
            <w:tcW w:w="10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bdr w:val="none" w:color="auto" w:sz="0" w:space="0"/>
                <w:lang w:val="en-US" w:eastAsia="zh-CN" w:bidi="ar"/>
              </w:rPr>
              <w:t xml:space="preserve">100.00 </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bdr w:val="none" w:color="auto" w:sz="0" w:space="0"/>
                <w:lang w:val="en-US" w:eastAsia="zh-CN" w:bidi="ar"/>
              </w:rPr>
              <w:t xml:space="preserve">99.87 </w:t>
            </w:r>
          </w:p>
        </w:tc>
        <w:tc>
          <w:tcPr>
            <w:tcW w:w="6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bl>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kinsoku/>
        <w:wordWrap/>
        <w:overflowPunct/>
        <w:topLinePunct w:val="0"/>
        <w:autoSpaceDE/>
        <w:autoSpaceDN/>
        <w:bidi w:val="0"/>
        <w:adjustRightInd/>
        <w:snapToGrid/>
        <w:spacing w:line="240" w:lineRule="exact"/>
      </w:pPr>
    </w:p>
    <w:tbl>
      <w:tblPr>
        <w:tblW w:w="10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49"/>
        <w:gridCol w:w="1110"/>
        <w:gridCol w:w="1245"/>
        <w:gridCol w:w="1500"/>
        <w:gridCol w:w="1410"/>
        <w:gridCol w:w="1395"/>
        <w:gridCol w:w="1021"/>
        <w:gridCol w:w="85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035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等线" w:hAnsi="等线" w:eastAsia="等线" w:cs="等线"/>
                <w:b/>
                <w:bCs/>
                <w:i w:val="0"/>
                <w:iCs w:val="0"/>
                <w:color w:val="000000"/>
                <w:sz w:val="40"/>
                <w:szCs w:val="40"/>
                <w:u w:val="none"/>
              </w:rPr>
            </w:pPr>
            <w:r>
              <w:rPr>
                <w:rFonts w:hint="default" w:ascii="等线" w:hAnsi="等线" w:eastAsia="等线" w:cs="等线"/>
                <w:b/>
                <w:bCs/>
                <w:i w:val="0"/>
                <w:iCs w:val="0"/>
                <w:color w:val="000000"/>
                <w:kern w:val="0"/>
                <w:sz w:val="28"/>
                <w:szCs w:val="28"/>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项目编码：</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440309210901500006460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项目名称：</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服务大厅管理事务</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绩效自评年度：</w:t>
            </w:r>
          </w:p>
        </w:tc>
        <w:tc>
          <w:tcPr>
            <w:tcW w:w="26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实施单位：</w:t>
            </w:r>
          </w:p>
        </w:tc>
        <w:tc>
          <w:tcPr>
            <w:tcW w:w="2355" w:type="dxa"/>
            <w:gridSpan w:val="2"/>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深圳市龙华区政务服务数据管理局</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一级预算单位：</w:t>
            </w:r>
          </w:p>
        </w:tc>
        <w:tc>
          <w:tcPr>
            <w:tcW w:w="544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深圳市龙华区政务服务数据管理局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35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资金使用情况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年初预算数</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全年预算数</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全年执行数</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分值</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执行率（%）</w:t>
            </w:r>
          </w:p>
        </w:tc>
        <w:tc>
          <w:tcPr>
            <w:tcW w:w="16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项目资金（元）</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2600000.00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3190000.00</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3172311.15</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99.4500</w:t>
            </w:r>
          </w:p>
        </w:tc>
        <w:tc>
          <w:tcPr>
            <w:tcW w:w="16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2600000.00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3190000.00</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3172311.15</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上年结转资金</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其他资金</w:t>
            </w:r>
          </w:p>
        </w:tc>
        <w:tc>
          <w:tcPr>
            <w:tcW w:w="1245"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500"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410"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0.00</w:t>
            </w:r>
          </w:p>
        </w:tc>
        <w:tc>
          <w:tcPr>
            <w:tcW w:w="1395"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021"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c>
          <w:tcPr>
            <w:tcW w:w="1620" w:type="dxa"/>
            <w:gridSpan w:val="2"/>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35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项目目标完成情况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年度总体目标</w:t>
            </w:r>
          </w:p>
        </w:tc>
        <w:tc>
          <w:tcPr>
            <w:tcW w:w="526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预期目标</w:t>
            </w:r>
          </w:p>
        </w:tc>
        <w:tc>
          <w:tcPr>
            <w:tcW w:w="403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5265" w:type="dxa"/>
            <w:gridSpan w:val="4"/>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首先保证区行政服务大厅现场设施设备正常运行，确保窗口及后台各项工作正常有序开展。其次加强实体行政服务大厅人员管理，从窗口行为规范、文明礼仪、服务态度、大厅标准化建设等方面，提升整体对外服务质量。最后为群众营造一个更为温馨舒适的办事氛围，以实际行动提高办事群众对政务服务的满意度。</w:t>
            </w:r>
          </w:p>
        </w:tc>
        <w:tc>
          <w:tcPr>
            <w:tcW w:w="4036" w:type="dxa"/>
            <w:gridSpan w:val="4"/>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2022年我局为全区各级行政服务大厅综合窗口工作人员及相关管理人员定制了工作制服，通过统一着装，进一步树立了龙华区良好的政务窗口形象。我局对全区各级行政服务大厅开展了综合满意度调查工作，从窗口行为规范、文明礼仪、服务态度、大厅标准化建设等方面进行考察，加强了实体行政服务大厅人员管理，并提升了整体对外服务质量。同时区大厅现场设施设备的正常运行及窗口、后台工作的有序开展，也为群众提供了一个便捷、舒适的办事环境。另外，为了让企业群众能够更直观、更智能、更丰富的体验政务咨询服务，我局成功发送了162202条政务咨询5G“暖心短信”，进一步提升了办事群众对政务服务获得感和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年度绩效指标</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一级指标</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二级指标</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年度指标值</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实际完成值</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分值</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得分</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产出</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(50分)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各级行政服务大厅综合满意度调查</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60个行政服务大厅+8个政务分厅</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60个行政服务大厅+8个政务分厅</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质量</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工作制服量身制作覆盖率</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覆盖率100%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覆盖率100%</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时效</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各级行政服务大厅综合满意度调查报告提交时间</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每季度结束后的下一个月提交上季度的调查报告。</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每季度结束后的下一个月提交上季度的调查报告。</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成本</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区大厅设施设备维护成本</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≤26万元</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25.8万元</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20.00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20.00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效益</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(30分)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经济效益</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社会效益</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政务咨询5G“暖心短信”服务 </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满足群众咨询需求</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100%完成目标</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30.00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30.00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生态效益</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可持续影响</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不适用</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满意度</w:t>
            </w:r>
            <w:r>
              <w:rPr>
                <w:rFonts w:hint="default" w:ascii="等线" w:hAnsi="等线" w:eastAsia="等线" w:cs="等线"/>
                <w:b w:val="0"/>
                <w:bCs w:val="0"/>
                <w:i w:val="0"/>
                <w:iCs w:val="0"/>
                <w:color w:val="333333"/>
                <w:kern w:val="0"/>
                <w:sz w:val="18"/>
                <w:szCs w:val="18"/>
                <w:u w:val="none"/>
                <w:lang w:val="en-US" w:eastAsia="zh-CN" w:bidi="ar"/>
              </w:rPr>
              <w:br w:type="textWrapping"/>
            </w:r>
            <w:r>
              <w:rPr>
                <w:rFonts w:hint="default" w:ascii="等线" w:hAnsi="等线" w:eastAsia="等线" w:cs="等线"/>
                <w:b w:val="0"/>
                <w:bCs w:val="0"/>
                <w:i w:val="0"/>
                <w:iCs w:val="0"/>
                <w:color w:val="333333"/>
                <w:kern w:val="0"/>
                <w:sz w:val="18"/>
                <w:szCs w:val="18"/>
                <w:u w:val="none"/>
                <w:lang w:val="en-US" w:eastAsia="zh-CN" w:bidi="ar"/>
              </w:rPr>
              <w:t>(10分)</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服务对象满意度</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企业及办事群众对我区政务服务的满意度</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99.97%</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 xml:space="preserve">10.00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其他满意度</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无</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无</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无</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r>
              <w:rPr>
                <w:rFonts w:hint="default" w:ascii="等线" w:hAnsi="等线" w:eastAsia="等线" w:cs="等线"/>
                <w:b w:val="0"/>
                <w:bCs w:val="0"/>
                <w:i w:val="0"/>
                <w:iCs w:val="0"/>
                <w:color w:val="333333"/>
                <w:kern w:val="0"/>
                <w:sz w:val="18"/>
                <w:szCs w:val="18"/>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p>
        </w:tc>
        <w:tc>
          <w:tcPr>
            <w:tcW w:w="6660" w:type="dxa"/>
            <w:gridSpan w:val="5"/>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r>
              <w:rPr>
                <w:rFonts w:hint="eastAsia" w:ascii="等线" w:hAnsi="等线" w:eastAsia="等线" w:cs="等线"/>
                <w:b w:val="0"/>
                <w:bCs w:val="0"/>
                <w:i w:val="0"/>
                <w:iCs w:val="0"/>
                <w:color w:val="333333"/>
                <w:kern w:val="0"/>
                <w:sz w:val="18"/>
                <w:szCs w:val="18"/>
                <w:u w:val="none"/>
                <w:lang w:val="en-US" w:eastAsia="zh-CN" w:bidi="ar"/>
              </w:rPr>
              <w:t>总分</w:t>
            </w:r>
          </w:p>
        </w:tc>
        <w:tc>
          <w:tcPr>
            <w:tcW w:w="1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r>
              <w:rPr>
                <w:rFonts w:hint="eastAsia" w:ascii="等线" w:hAnsi="等线" w:eastAsia="等线" w:cs="等线"/>
                <w:b w:val="0"/>
                <w:bCs w:val="0"/>
                <w:i w:val="0"/>
                <w:iCs w:val="0"/>
                <w:color w:val="333333"/>
                <w:kern w:val="0"/>
                <w:sz w:val="18"/>
                <w:szCs w:val="18"/>
                <w:u w:val="none"/>
                <w:lang w:val="en-US" w:eastAsia="zh-CN" w:bidi="ar"/>
              </w:rPr>
              <w:t xml:space="preserve">100.00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r>
              <w:rPr>
                <w:rFonts w:hint="eastAsia" w:ascii="等线" w:hAnsi="等线" w:eastAsia="等线" w:cs="等线"/>
                <w:b w:val="0"/>
                <w:bCs w:val="0"/>
                <w:i w:val="0"/>
                <w:iCs w:val="0"/>
                <w:color w:val="333333"/>
                <w:kern w:val="0"/>
                <w:sz w:val="18"/>
                <w:szCs w:val="18"/>
                <w:u w:val="none"/>
                <w:lang w:val="en-US" w:eastAsia="zh-CN" w:bidi="ar"/>
              </w:rPr>
              <w:t xml:space="preserve">99.95 </w:t>
            </w:r>
          </w:p>
        </w:tc>
        <w:tc>
          <w:tcPr>
            <w:tcW w:w="76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val="0"/>
                <w:bCs w:val="0"/>
                <w:i w:val="0"/>
                <w:iCs w:val="0"/>
                <w:color w:val="333333"/>
                <w:kern w:val="0"/>
                <w:sz w:val="18"/>
                <w:szCs w:val="18"/>
                <w:u w:val="none"/>
                <w:lang w:val="en-US" w:eastAsia="zh-CN" w:bidi="ar"/>
              </w:rPr>
            </w:pPr>
            <w:r>
              <w:rPr>
                <w:rFonts w:hint="eastAsia" w:ascii="等线" w:hAnsi="等线" w:eastAsia="等线" w:cs="等线"/>
                <w:b w:val="0"/>
                <w:bCs w:val="0"/>
                <w:i w:val="0"/>
                <w:iCs w:val="0"/>
                <w:color w:val="333333"/>
                <w:kern w:val="0"/>
                <w:sz w:val="18"/>
                <w:szCs w:val="18"/>
                <w:u w:val="none"/>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val="0"/>
          <w:bCs w:val="0"/>
          <w:i w:val="0"/>
          <w:iCs w:val="0"/>
          <w:color w:val="333333"/>
          <w:kern w:val="0"/>
          <w:sz w:val="18"/>
          <w:szCs w:val="18"/>
          <w:u w:val="none"/>
          <w:lang w:val="en-US" w:eastAsia="zh-CN" w:bidi="ar"/>
        </w:rPr>
      </w:pPr>
      <w:bookmarkStart w:id="0" w:name="_GoBack"/>
      <w:bookmarkEnd w:id="0"/>
    </w:p>
    <w:sectPr>
      <w:pgSz w:w="11906" w:h="16838"/>
      <w:pgMar w:top="1440" w:right="1519" w:bottom="1440" w:left="952"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A761F"/>
    <w:rsid w:val="0DFB7663"/>
    <w:rsid w:val="0F6143F9"/>
    <w:rsid w:val="161E23ED"/>
    <w:rsid w:val="166656B6"/>
    <w:rsid w:val="1AC40B69"/>
    <w:rsid w:val="1DCD7A35"/>
    <w:rsid w:val="27D7292B"/>
    <w:rsid w:val="2954091B"/>
    <w:rsid w:val="2AEA7B48"/>
    <w:rsid w:val="2E3D3B21"/>
    <w:rsid w:val="348000CC"/>
    <w:rsid w:val="3ECC2509"/>
    <w:rsid w:val="41D767CA"/>
    <w:rsid w:val="4DF76AC6"/>
    <w:rsid w:val="4F235DE5"/>
    <w:rsid w:val="4F4F3B80"/>
    <w:rsid w:val="4F62591F"/>
    <w:rsid w:val="52461EB2"/>
    <w:rsid w:val="528F77F2"/>
    <w:rsid w:val="59FB26AF"/>
    <w:rsid w:val="680F49CF"/>
    <w:rsid w:val="69616731"/>
    <w:rsid w:val="6C930267"/>
    <w:rsid w:val="6CC43D9B"/>
    <w:rsid w:val="72BC7729"/>
    <w:rsid w:val="736F628F"/>
    <w:rsid w:val="7AEC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uiPriority w:val="0"/>
    <w:rPr>
      <w:rFonts w:hint="default" w:ascii="等线" w:hAnsi="等线" w:eastAsia="等线" w:cs="等线"/>
      <w:b/>
      <w:bCs/>
      <w:color w:val="000000"/>
      <w:sz w:val="18"/>
      <w:szCs w:val="18"/>
      <w:u w:val="none"/>
    </w:rPr>
  </w:style>
  <w:style w:type="character" w:customStyle="1" w:styleId="5">
    <w:name w:val="font81"/>
    <w:basedOn w:val="3"/>
    <w:uiPriority w:val="0"/>
    <w:rPr>
      <w:rFonts w:hint="default" w:ascii="等线" w:hAnsi="等线" w:eastAsia="等线" w:cs="等线"/>
      <w:b/>
      <w:bCs/>
      <w:color w:val="555555"/>
      <w:sz w:val="18"/>
      <w:szCs w:val="18"/>
      <w:u w:val="none"/>
    </w:rPr>
  </w:style>
  <w:style w:type="character" w:customStyle="1" w:styleId="6">
    <w:name w:val="font61"/>
    <w:basedOn w:val="3"/>
    <w:uiPriority w:val="0"/>
    <w:rPr>
      <w:rFonts w:hint="default" w:ascii="等线" w:hAnsi="等线" w:eastAsia="等线" w:cs="等线"/>
      <w:color w:val="000000"/>
      <w:sz w:val="18"/>
      <w:szCs w:val="18"/>
      <w:u w:val="none"/>
    </w:rPr>
  </w:style>
  <w:style w:type="character" w:customStyle="1" w:styleId="7">
    <w:name w:val="font11"/>
    <w:basedOn w:val="3"/>
    <w:uiPriority w:val="0"/>
    <w:rPr>
      <w:rFonts w:hint="default" w:ascii="等线" w:hAnsi="等线" w:eastAsia="等线" w:cs="等线"/>
      <w:b/>
      <w:bCs/>
      <w:color w:val="000000"/>
      <w:sz w:val="18"/>
      <w:szCs w:val="18"/>
      <w:u w:val="none"/>
    </w:rPr>
  </w:style>
  <w:style w:type="character" w:customStyle="1" w:styleId="8">
    <w:name w:val="font51"/>
    <w:basedOn w:val="3"/>
    <w:uiPriority w:val="0"/>
    <w:rPr>
      <w:rFonts w:hint="default" w:ascii="等线" w:hAnsi="等线" w:eastAsia="等线" w:cs="等线"/>
      <w:b/>
      <w:bCs/>
      <w:color w:val="555555"/>
      <w:sz w:val="18"/>
      <w:szCs w:val="18"/>
      <w:u w:val="none"/>
    </w:rPr>
  </w:style>
  <w:style w:type="character" w:customStyle="1" w:styleId="9">
    <w:name w:val="font21"/>
    <w:basedOn w:val="3"/>
    <w:uiPriority w:val="0"/>
    <w:rPr>
      <w:rFonts w:hint="default" w:ascii="等线" w:hAnsi="等线" w:eastAsia="等线" w:cs="等线"/>
      <w:color w:val="000000"/>
      <w:sz w:val="18"/>
      <w:szCs w:val="18"/>
      <w:u w:val="none"/>
    </w:rPr>
  </w:style>
  <w:style w:type="character" w:customStyle="1" w:styleId="10">
    <w:name w:val="font101"/>
    <w:basedOn w:val="3"/>
    <w:uiPriority w:val="0"/>
    <w:rPr>
      <w:rFonts w:hint="default" w:ascii="等线" w:hAnsi="等线" w:eastAsia="等线" w:cs="等线"/>
      <w:b/>
      <w:bCs/>
      <w:color w:val="000000"/>
      <w:sz w:val="20"/>
      <w:szCs w:val="20"/>
      <w:u w:val="none"/>
    </w:rPr>
  </w:style>
  <w:style w:type="character" w:customStyle="1" w:styleId="11">
    <w:name w:val="font91"/>
    <w:basedOn w:val="3"/>
    <w:uiPriority w:val="0"/>
    <w:rPr>
      <w:rFonts w:hint="default" w:ascii="等线" w:hAnsi="等线" w:eastAsia="等线" w:cs="等线"/>
      <w:b/>
      <w:bCs/>
      <w:color w:val="555555"/>
      <w:sz w:val="20"/>
      <w:szCs w:val="20"/>
      <w:u w:val="none"/>
    </w:rPr>
  </w:style>
  <w:style w:type="character" w:customStyle="1" w:styleId="12">
    <w:name w:val="font41"/>
    <w:basedOn w:val="3"/>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2021-02-05T01:51:00Z</dcterms:created>
  <dc:creator>Administrator.DELL03</dc:creator>
  <cp:lastModifiedBy>张美玲</cp:lastModifiedBy>
  <dcterms:modified xsi:type="dcterms:W3CDTF">2023-10-20T09:10:09Z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D668F6E1301E43E1B410E66C450CEC59</vt:lpwstr>
  </property>
</Properties>
</file>