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left="0" w:leftChars="0" w:firstLine="0" w:firstLineChars="0"/>
        <w:jc w:val="both"/>
        <w:rPr>
          <w:rFonts w:hint="eastAsia" w:ascii="黑体" w:hAnsi="黑体" w:eastAsia="黑体" w:cs="黑体"/>
          <w:b w:val="0"/>
          <w:bCs w:val="0"/>
          <w:sz w:val="32"/>
          <w:szCs w:val="32"/>
          <w:lang w:eastAsia="zh-CN"/>
        </w:rPr>
      </w:pPr>
      <w:bookmarkStart w:id="11" w:name="_GoBack"/>
      <w:bookmarkEnd w:id="11"/>
    </w:p>
    <w:p>
      <w:pPr>
        <w:spacing w:line="560" w:lineRule="exact"/>
        <w:ind w:firstLine="0" w:firstLineChars="0"/>
        <w:jc w:val="center"/>
        <w:rPr>
          <w:rFonts w:hint="eastAsia" w:ascii="宋体" w:hAnsi="宋体" w:cs="Arial"/>
          <w:b/>
          <w:bCs/>
          <w:sz w:val="44"/>
          <w:szCs w:val="44"/>
        </w:rPr>
      </w:pPr>
      <w:r>
        <w:rPr>
          <w:rFonts w:hint="eastAsia" w:ascii="宋体" w:hAnsi="宋体" w:cs="Arial"/>
          <w:b/>
          <w:bCs/>
          <w:sz w:val="44"/>
          <w:szCs w:val="44"/>
        </w:rPr>
        <w:t>龙华区2023-2024年度电力、油气长输管道、新能源汽车充电设施领域事故灾难类</w:t>
      </w:r>
    </w:p>
    <w:p>
      <w:pPr>
        <w:spacing w:line="560" w:lineRule="exact"/>
        <w:ind w:firstLine="0" w:firstLineChars="0"/>
        <w:jc w:val="center"/>
        <w:rPr>
          <w:rFonts w:hint="eastAsia" w:ascii="宋体" w:hAnsi="宋体" w:cs="Arial"/>
          <w:b/>
          <w:bCs/>
          <w:sz w:val="44"/>
          <w:szCs w:val="44"/>
          <w:lang w:val="en-US" w:eastAsia="zh-CN"/>
        </w:rPr>
      </w:pPr>
      <w:r>
        <w:rPr>
          <w:rFonts w:hint="eastAsia" w:ascii="宋体" w:hAnsi="宋体" w:cs="Arial"/>
          <w:b/>
          <w:bCs/>
          <w:sz w:val="44"/>
          <w:szCs w:val="44"/>
        </w:rPr>
        <w:t>安全风险评估项目</w:t>
      </w:r>
    </w:p>
    <w:p>
      <w:pPr>
        <w:adjustRightInd w:val="0"/>
        <w:snapToGrid w:val="0"/>
        <w:spacing w:line="700" w:lineRule="exact"/>
        <w:jc w:val="center"/>
        <w:rPr>
          <w:rFonts w:ascii="宋体" w:hAnsi="宋体" w:cs="Arial"/>
          <w:b/>
          <w:bCs/>
          <w:sz w:val="44"/>
          <w:szCs w:val="44"/>
        </w:rPr>
      </w:pPr>
    </w:p>
    <w:p>
      <w:pPr>
        <w:spacing w:line="360" w:lineRule="auto"/>
        <w:ind w:left="0" w:leftChars="0" w:firstLine="0" w:firstLineChars="0"/>
        <w:jc w:val="both"/>
        <w:rPr>
          <w:rFonts w:ascii="黑体" w:hAnsi="宋体" w:eastAsia="黑体"/>
          <w:b/>
          <w:bCs/>
          <w:sz w:val="32"/>
          <w:szCs w:val="32"/>
        </w:rPr>
      </w:pPr>
    </w:p>
    <w:p>
      <w:pPr>
        <w:spacing w:line="360" w:lineRule="auto"/>
        <w:jc w:val="both"/>
        <w:rPr>
          <w:rFonts w:ascii="黑体" w:hAnsi="宋体" w:eastAsia="黑体"/>
          <w:b/>
          <w:bCs/>
          <w:sz w:val="32"/>
          <w:szCs w:val="32"/>
        </w:rPr>
      </w:pPr>
    </w:p>
    <w:p>
      <w:pPr>
        <w:spacing w:line="360" w:lineRule="auto"/>
        <w:ind w:left="0" w:leftChars="0" w:firstLine="0" w:firstLineChars="0"/>
        <w:jc w:val="center"/>
        <w:rPr>
          <w:rFonts w:ascii="黑体" w:hAnsi="宋体" w:eastAsia="黑体"/>
          <w:b/>
          <w:bCs/>
          <w:sz w:val="72"/>
          <w:szCs w:val="72"/>
        </w:rPr>
      </w:pPr>
      <w:r>
        <w:rPr>
          <w:rFonts w:hint="eastAsia" w:ascii="黑体" w:hAnsi="黑体" w:eastAsia="黑体"/>
          <w:b/>
          <w:bCs/>
          <w:sz w:val="72"/>
          <w:szCs w:val="72"/>
        </w:rPr>
        <w:t>招</w:t>
      </w:r>
    </w:p>
    <w:p>
      <w:pPr>
        <w:spacing w:line="360" w:lineRule="auto"/>
        <w:ind w:left="0" w:leftChars="0" w:firstLine="0" w:firstLineChars="0"/>
        <w:jc w:val="center"/>
        <w:rPr>
          <w:rFonts w:ascii="黑体" w:hAnsi="宋体" w:eastAsia="黑体"/>
          <w:b/>
          <w:bCs/>
          <w:sz w:val="72"/>
          <w:szCs w:val="72"/>
        </w:rPr>
      </w:pPr>
    </w:p>
    <w:p>
      <w:pPr>
        <w:spacing w:line="360" w:lineRule="auto"/>
        <w:ind w:left="0" w:leftChars="0" w:firstLine="0" w:firstLineChars="0"/>
        <w:jc w:val="center"/>
        <w:rPr>
          <w:rFonts w:ascii="黑体" w:hAnsi="宋体" w:eastAsia="黑体"/>
          <w:b/>
          <w:bCs/>
          <w:sz w:val="72"/>
          <w:szCs w:val="72"/>
        </w:rPr>
      </w:pPr>
      <w:r>
        <w:rPr>
          <w:rFonts w:hint="eastAsia" w:ascii="黑体" w:hAnsi="黑体" w:eastAsia="黑体"/>
          <w:b/>
          <w:bCs/>
          <w:sz w:val="72"/>
          <w:szCs w:val="72"/>
        </w:rPr>
        <w:t>标</w:t>
      </w:r>
    </w:p>
    <w:p>
      <w:pPr>
        <w:spacing w:line="360" w:lineRule="auto"/>
        <w:ind w:left="0" w:leftChars="0" w:firstLine="0" w:firstLineChars="0"/>
        <w:jc w:val="center"/>
        <w:rPr>
          <w:rFonts w:ascii="黑体" w:hAnsi="宋体" w:eastAsia="黑体"/>
          <w:b/>
          <w:bCs/>
          <w:sz w:val="48"/>
          <w:szCs w:val="48"/>
        </w:rPr>
      </w:pPr>
    </w:p>
    <w:p>
      <w:pPr>
        <w:spacing w:line="360" w:lineRule="auto"/>
        <w:ind w:left="0" w:leftChars="0" w:firstLine="0" w:firstLineChars="0"/>
        <w:jc w:val="center"/>
        <w:rPr>
          <w:rFonts w:hint="eastAsia" w:ascii="黑体" w:hAnsi="黑体" w:eastAsia="黑体"/>
          <w:b/>
          <w:bCs/>
          <w:sz w:val="72"/>
          <w:szCs w:val="72"/>
        </w:rPr>
      </w:pPr>
      <w:r>
        <w:rPr>
          <w:rFonts w:hint="eastAsia" w:ascii="黑体" w:hAnsi="黑体" w:eastAsia="黑体"/>
          <w:b/>
          <w:bCs/>
          <w:sz w:val="72"/>
          <w:szCs w:val="72"/>
        </w:rPr>
        <w:t>书</w:t>
      </w:r>
    </w:p>
    <w:p>
      <w:pPr>
        <w:pStyle w:val="3"/>
      </w:pPr>
    </w:p>
    <w:p>
      <w:pPr>
        <w:spacing w:line="600" w:lineRule="exact"/>
        <w:jc w:val="center"/>
        <w:rPr>
          <w:rFonts w:ascii="宋体" w:hAnsi="宋体"/>
          <w:b/>
          <w:bCs/>
          <w:sz w:val="32"/>
          <w:szCs w:val="32"/>
        </w:rPr>
      </w:pPr>
      <w:r>
        <w:rPr>
          <w:rFonts w:hint="eastAsia" w:ascii="宋体" w:hAnsi="宋体"/>
          <w:b/>
          <w:bCs/>
          <w:sz w:val="32"/>
          <w:szCs w:val="32"/>
        </w:rPr>
        <w:t>　深圳市龙华区发展和改革局</w:t>
      </w:r>
    </w:p>
    <w:p>
      <w:pPr>
        <w:spacing w:line="600" w:lineRule="exact"/>
        <w:jc w:val="center"/>
        <w:rPr>
          <w:rFonts w:ascii="宋体" w:hAnsi="宋体" w:cs="宋体"/>
          <w:b/>
          <w:bCs/>
          <w:sz w:val="44"/>
          <w:szCs w:val="44"/>
        </w:rPr>
        <w:sectPr>
          <w:footerReference r:id="rId5" w:type="default"/>
          <w:pgSz w:w="11906" w:h="16838"/>
          <w:pgMar w:top="2098" w:right="1474" w:bottom="1984" w:left="1587" w:header="720" w:footer="720" w:gutter="0"/>
          <w:pgNumType w:fmt="decimal"/>
          <w:cols w:space="720" w:num="1"/>
          <w:docGrid w:type="lines" w:linePitch="312" w:charSpace="0"/>
        </w:sectPr>
      </w:pPr>
      <w:r>
        <w:rPr>
          <w:rFonts w:hint="eastAsia" w:ascii="宋体" w:hAnsi="宋体"/>
          <w:b/>
          <w:bCs/>
          <w:sz w:val="32"/>
          <w:szCs w:val="32"/>
        </w:rPr>
        <w:t>20</w:t>
      </w:r>
      <w:r>
        <w:rPr>
          <w:rFonts w:ascii="宋体" w:hAnsi="宋体"/>
          <w:b/>
          <w:bCs/>
          <w:sz w:val="32"/>
          <w:szCs w:val="32"/>
        </w:rPr>
        <w:t>23</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color w:val="auto"/>
          <w:sz w:val="32"/>
          <w:szCs w:val="32"/>
          <w:highlight w:val="none"/>
        </w:rPr>
        <w:t>月</w:t>
      </w:r>
    </w:p>
    <w:p>
      <w:pPr>
        <w:adjustRightInd w:val="0"/>
        <w:snapToGrid w:val="0"/>
        <w:ind w:left="0" w:leftChars="0" w:firstLine="0" w:firstLineChars="0"/>
        <w:jc w:val="both"/>
        <w:rPr>
          <w:rFonts w:ascii="宋体" w:hAnsi="宋体" w:cs="Arial"/>
          <w:b/>
          <w:bCs/>
          <w:sz w:val="44"/>
          <w:szCs w:val="44"/>
        </w:rPr>
      </w:pPr>
    </w:p>
    <w:p>
      <w:pPr>
        <w:spacing w:line="560" w:lineRule="exact"/>
        <w:ind w:firstLine="0" w:firstLineChars="0"/>
        <w:jc w:val="center"/>
        <w:rPr>
          <w:rFonts w:hint="eastAsia" w:ascii="宋体" w:hAnsi="宋体" w:cs="Arial"/>
          <w:b/>
          <w:bCs/>
          <w:sz w:val="44"/>
          <w:szCs w:val="44"/>
        </w:rPr>
      </w:pPr>
      <w:r>
        <w:rPr>
          <w:rFonts w:hint="eastAsia" w:ascii="宋体" w:hAnsi="宋体" w:cs="Arial"/>
          <w:b/>
          <w:bCs/>
          <w:sz w:val="44"/>
          <w:szCs w:val="44"/>
        </w:rPr>
        <w:t>龙华区2023-2024年度电力、油气长输管道、新能源汽车充电设施领域事故灾难类</w:t>
      </w:r>
    </w:p>
    <w:p>
      <w:pPr>
        <w:spacing w:line="560" w:lineRule="exact"/>
        <w:ind w:firstLine="0" w:firstLineChars="0"/>
        <w:jc w:val="center"/>
        <w:rPr>
          <w:rFonts w:hint="eastAsia" w:ascii="宋体" w:hAnsi="宋体" w:cs="Arial"/>
          <w:b/>
          <w:bCs/>
          <w:sz w:val="44"/>
          <w:szCs w:val="44"/>
          <w:lang w:val="en-US" w:eastAsia="zh-CN"/>
        </w:rPr>
      </w:pPr>
      <w:r>
        <w:rPr>
          <w:rFonts w:hint="eastAsia" w:ascii="宋体" w:hAnsi="宋体" w:cs="Arial"/>
          <w:b/>
          <w:bCs/>
          <w:sz w:val="44"/>
          <w:szCs w:val="44"/>
        </w:rPr>
        <w:t>安全风险评估</w:t>
      </w:r>
    </w:p>
    <w:p>
      <w:pPr>
        <w:adjustRightInd w:val="0"/>
        <w:snapToGrid w:val="0"/>
        <w:jc w:val="center"/>
        <w:rPr>
          <w:rFonts w:ascii="宋体" w:hAnsi="宋体" w:cs="Arial"/>
          <w:b/>
          <w:bCs/>
          <w:sz w:val="44"/>
          <w:szCs w:val="44"/>
        </w:rPr>
      </w:pP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龙华</w:t>
      </w:r>
      <w:r>
        <w:rPr>
          <w:rFonts w:hint="eastAsia" w:ascii="仿宋_GB2312" w:hAnsi="仿宋_GB2312" w:eastAsia="仿宋_GB2312" w:cs="仿宋_GB2312"/>
          <w:color w:val="000000" w:themeColor="text1"/>
          <w:kern w:val="2"/>
          <w:sz w:val="32"/>
          <w:lang w:eastAsia="zh-CN" w:bidi="ar-SA"/>
          <w14:textFill>
            <w14:solidFill>
              <w14:schemeClr w14:val="tx1"/>
            </w14:solidFill>
          </w14:textFill>
        </w:rPr>
        <w:t>区2023-2024年度电力、油气长输管道、新能源汽车充电设施领域安全风险评估</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hAnsi="仿宋" w:cs="仿宋_GB2312"/>
          <w:sz w:val="32"/>
          <w:szCs w:val="32"/>
          <w:lang w:val="en-US" w:eastAsia="zh-CN"/>
        </w:rPr>
        <w:t>至2024年6月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（三）项目预算：预算金额不超过</w:t>
      </w:r>
      <w:r>
        <w:rPr>
          <w:rFonts w:hint="eastAsia" w:hAnsi="仿宋" w:cs="仿宋_GB2312"/>
          <w:sz w:val="32"/>
          <w:szCs w:val="32"/>
          <w:lang w:val="en-US" w:eastAsia="zh-CN"/>
        </w:rPr>
        <w:t>78.9064</w:t>
      </w:r>
      <w:r>
        <w:rPr>
          <w:rFonts w:hint="eastAsia" w:ascii="仿宋_GB2312" w:hAnsi="仿宋" w:eastAsia="仿宋_GB2312" w:cs="仿宋_GB2312"/>
          <w:sz w:val="32"/>
          <w:szCs w:val="32"/>
        </w:rPr>
        <w:t>万元</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0" w:name="_Toc97027520"/>
      <w:bookmarkStart w:id="1" w:name="_Toc146029020"/>
      <w:r>
        <w:rPr>
          <w:rFonts w:hint="eastAsia" w:ascii="楷体_GB2312" w:hAnsi="楷体_GB2312" w:eastAsia="楷体_GB2312" w:cs="楷体_GB2312"/>
          <w:bCs/>
          <w:kern w:val="2"/>
          <w:sz w:val="32"/>
          <w:szCs w:val="32"/>
          <w:lang w:eastAsia="zh-CN" w:bidi="ar-SA"/>
        </w:rPr>
        <w:t>（一）</w:t>
      </w:r>
      <w:bookmarkEnd w:id="0"/>
      <w:r>
        <w:rPr>
          <w:rFonts w:hint="eastAsia" w:ascii="楷体_GB2312" w:hAnsi="楷体_GB2312" w:eastAsia="楷体_GB2312" w:cs="楷体_GB2312"/>
          <w:bCs/>
          <w:kern w:val="2"/>
          <w:sz w:val="32"/>
          <w:szCs w:val="32"/>
          <w:lang w:eastAsia="zh-CN" w:bidi="ar-SA"/>
        </w:rPr>
        <w:t>风险评估技术研究</w:t>
      </w:r>
      <w:bookmarkEnd w:id="1"/>
    </w:p>
    <w:p>
      <w:pPr>
        <w:autoSpaceDE/>
        <w:autoSpaceDN/>
        <w:spacing w:line="560" w:lineRule="exact"/>
        <w:ind w:firstLine="640"/>
        <w:jc w:val="both"/>
        <w:rPr>
          <w:rFonts w:ascii="仿宋_GB2312" w:hAnsi="仿宋_GB2312" w:eastAsia="仿宋_GB2312" w:cs="仿宋_GB2312"/>
          <w:color w:val="000000"/>
          <w:kern w:val="2"/>
          <w:sz w:val="32"/>
          <w:lang w:eastAsia="zh-CN" w:bidi="ar-SA"/>
        </w:rPr>
      </w:pPr>
      <w:bookmarkStart w:id="2" w:name="_Toc97027521"/>
      <w:r>
        <w:rPr>
          <w:rFonts w:hint="eastAsia" w:ascii="仿宋_GB2312" w:hAnsi="仿宋_GB2312" w:eastAsia="仿宋_GB2312" w:cs="仿宋_GB2312"/>
          <w:color w:val="000000"/>
          <w:kern w:val="2"/>
          <w:sz w:val="32"/>
          <w:lang w:eastAsia="zh-CN" w:bidi="ar-SA"/>
        </w:rPr>
        <w:t>根据项目实施工作需要，由具备特定专业能力的人员组成工作组，协助开展电力、油气长输管道、新能源汽车充电设施领域</w:t>
      </w:r>
      <w:r>
        <w:rPr>
          <w:rFonts w:hint="eastAsia" w:ascii="仿宋_GB2312" w:hAnsi="仿宋_GB2312" w:eastAsia="仿宋_GB2312" w:cs="仿宋_GB2312"/>
          <w:kern w:val="2"/>
          <w:sz w:val="32"/>
          <w:lang w:eastAsia="zh-CN" w:bidi="ar-SA"/>
        </w:rPr>
        <w:t>事故灾难类风险评估</w:t>
      </w:r>
      <w:r>
        <w:rPr>
          <w:rFonts w:hint="eastAsia" w:ascii="仿宋_GB2312" w:hAnsi="仿宋_GB2312" w:eastAsia="仿宋_GB2312" w:cs="仿宋_GB2312"/>
          <w:color w:val="000000"/>
          <w:kern w:val="2"/>
          <w:sz w:val="32"/>
          <w:lang w:eastAsia="zh-CN" w:bidi="ar-SA"/>
        </w:rPr>
        <w:t>技术研究，研究风险管控措施。</w:t>
      </w:r>
    </w:p>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3" w:name="_Toc146029021"/>
      <w:r>
        <w:rPr>
          <w:rFonts w:hint="eastAsia" w:ascii="楷体_GB2312" w:hAnsi="楷体_GB2312" w:eastAsia="楷体_GB2312" w:cs="楷体_GB2312"/>
          <w:bCs/>
          <w:kern w:val="2"/>
          <w:sz w:val="32"/>
          <w:szCs w:val="32"/>
          <w:lang w:eastAsia="zh-CN" w:bidi="ar-SA"/>
        </w:rPr>
        <w:t>（二）风险评估工作方案编制</w:t>
      </w:r>
      <w:bookmarkEnd w:id="3"/>
    </w:p>
    <w:p>
      <w:pPr>
        <w:autoSpaceDE/>
        <w:autoSpaceDN/>
        <w:spacing w:line="560" w:lineRule="exact"/>
        <w:ind w:firstLine="640"/>
        <w:jc w:val="both"/>
        <w:rPr>
          <w:rFonts w:ascii="仿宋_GB2312" w:hAnsi="仿宋_GB2312" w:eastAsia="仿宋_GB2312" w:cs="仿宋_GB2312"/>
          <w:kern w:val="2"/>
          <w:sz w:val="32"/>
          <w:lang w:eastAsia="zh-CN" w:bidi="ar-SA"/>
        </w:rPr>
      </w:pPr>
      <w:r>
        <w:rPr>
          <w:rFonts w:hint="eastAsia" w:ascii="仿宋_GB2312" w:hAnsi="仿宋_GB2312" w:eastAsia="仿宋_GB2312" w:cs="仿宋_GB2312"/>
          <w:color w:val="000000"/>
          <w:kern w:val="2"/>
          <w:sz w:val="32"/>
          <w:lang w:eastAsia="zh-CN" w:bidi="ar-SA"/>
        </w:rPr>
        <w:t>根据全市及龙华区事故灾难类安全风险评估工作方案和风险评估技术指引，编制</w:t>
      </w:r>
      <w:r>
        <w:rPr>
          <w:rFonts w:hint="eastAsia" w:ascii="仿宋_GB2312" w:hAnsi="仿宋_GB2312" w:eastAsia="仿宋_GB2312" w:cs="仿宋_GB2312"/>
          <w:kern w:val="2"/>
          <w:sz w:val="32"/>
          <w:lang w:eastAsia="zh-CN" w:bidi="ar-SA"/>
        </w:rPr>
        <w:t>龙华区2023-2024年度电力、油气长输管道、新能源汽车充电设施领域事故灾难类安全风险评估工作方案</w:t>
      </w:r>
      <w:r>
        <w:rPr>
          <w:rFonts w:hint="eastAsia" w:ascii="仿宋_GB2312" w:hAnsi="仿宋_GB2312" w:eastAsia="仿宋_GB2312" w:cs="仿宋_GB2312"/>
          <w:color w:val="000000"/>
          <w:kern w:val="2"/>
          <w:sz w:val="32"/>
          <w:lang w:eastAsia="zh-CN" w:bidi="ar-SA"/>
        </w:rPr>
        <w:t>。</w:t>
      </w:r>
    </w:p>
    <w:bookmarkEnd w:id="2"/>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4" w:name="_Toc146029023"/>
      <w:r>
        <w:rPr>
          <w:rFonts w:hint="eastAsia" w:ascii="楷体_GB2312" w:hAnsi="楷体_GB2312" w:eastAsia="楷体_GB2312" w:cs="楷体_GB2312"/>
          <w:bCs/>
          <w:kern w:val="2"/>
          <w:sz w:val="32"/>
          <w:szCs w:val="32"/>
          <w:lang w:eastAsia="zh-CN" w:bidi="ar-SA"/>
        </w:rPr>
        <w:t>（三）风险信息采集</w:t>
      </w:r>
      <w:bookmarkEnd w:id="4"/>
    </w:p>
    <w:p>
      <w:pPr>
        <w:autoSpaceDE/>
        <w:autoSpaceDN/>
        <w:spacing w:line="560" w:lineRule="exact"/>
        <w:ind w:firstLine="640"/>
        <w:jc w:val="both"/>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指导辖区</w:t>
      </w:r>
      <w:r>
        <w:rPr>
          <w:rFonts w:hint="eastAsia" w:ascii="仿宋_GB2312" w:hAnsi="仿宋_GB2312" w:eastAsia="仿宋_GB2312" w:cs="仿宋_GB2312"/>
          <w:kern w:val="2"/>
          <w:sz w:val="32"/>
          <w:lang w:val="en-US" w:eastAsia="zh-CN" w:bidi="ar-SA"/>
        </w:rPr>
        <w:t>2家</w:t>
      </w:r>
      <w:r>
        <w:rPr>
          <w:rFonts w:hint="eastAsia" w:ascii="仿宋_GB2312" w:hAnsi="仿宋_GB2312" w:eastAsia="仿宋_GB2312" w:cs="仿宋_GB2312"/>
          <w:kern w:val="2"/>
          <w:sz w:val="32"/>
          <w:szCs w:val="32"/>
          <w:lang w:eastAsia="zh-CN" w:bidi="ar-SA"/>
        </w:rPr>
        <w:t>电力企业、</w:t>
      </w:r>
      <w:r>
        <w:rPr>
          <w:rFonts w:hint="eastAsia" w:ascii="仿宋_GB2312" w:hAnsi="仿宋_GB2312" w:eastAsia="仿宋_GB2312" w:cs="仿宋_GB2312"/>
          <w:kern w:val="2"/>
          <w:sz w:val="32"/>
          <w:szCs w:val="32"/>
          <w:lang w:val="en-US" w:eastAsia="zh-CN" w:bidi="ar-SA"/>
        </w:rPr>
        <w:t>3家</w:t>
      </w:r>
      <w:r>
        <w:rPr>
          <w:rFonts w:hint="eastAsia" w:ascii="仿宋_GB2312" w:hAnsi="仿宋_GB2312" w:eastAsia="仿宋_GB2312" w:cs="仿宋_GB2312"/>
          <w:kern w:val="2"/>
          <w:sz w:val="32"/>
          <w:szCs w:val="32"/>
          <w:lang w:eastAsia="zh-CN" w:bidi="ar-SA"/>
        </w:rPr>
        <w:t>油气长输管道企业、</w:t>
      </w:r>
      <w:r>
        <w:rPr>
          <w:rFonts w:hint="eastAsia" w:ascii="仿宋_GB2312" w:hAnsi="仿宋_GB2312" w:eastAsia="仿宋_GB2312" w:cs="仿宋_GB2312"/>
          <w:kern w:val="2"/>
          <w:sz w:val="32"/>
          <w:szCs w:val="32"/>
          <w:lang w:val="en-US" w:eastAsia="zh-CN" w:bidi="ar-SA"/>
        </w:rPr>
        <w:t>200余家</w:t>
      </w:r>
      <w:r>
        <w:rPr>
          <w:rFonts w:hint="eastAsia" w:ascii="仿宋_GB2312" w:hAnsi="仿宋_GB2312" w:eastAsia="仿宋_GB2312" w:cs="仿宋_GB2312"/>
          <w:kern w:val="2"/>
          <w:sz w:val="32"/>
          <w:szCs w:val="32"/>
          <w:lang w:eastAsia="zh-CN" w:bidi="ar-SA"/>
        </w:rPr>
        <w:t>新能源汽车充电设施运营企业</w:t>
      </w:r>
      <w:r>
        <w:rPr>
          <w:rFonts w:hint="eastAsia" w:ascii="仿宋_GB2312" w:hAnsi="仿宋_GB2312" w:eastAsia="仿宋_GB2312" w:cs="仿宋_GB2312"/>
          <w:kern w:val="2"/>
          <w:sz w:val="32"/>
          <w:lang w:eastAsia="zh-CN" w:bidi="ar-SA"/>
        </w:rPr>
        <w:t>开展本单位生产经营活动涉及的主要</w:t>
      </w:r>
      <w:r>
        <w:rPr>
          <w:rFonts w:hint="eastAsia" w:ascii="仿宋_GB2312" w:hAnsi="仿宋_GB2312" w:eastAsia="仿宋_GB2312" w:cs="仿宋_GB2312"/>
          <w:color w:val="000000"/>
          <w:kern w:val="2"/>
          <w:sz w:val="32"/>
          <w:lang w:eastAsia="zh-CN" w:bidi="ar-SA"/>
        </w:rPr>
        <w:t>风险点危险源辨识，</w:t>
      </w:r>
      <w:r>
        <w:rPr>
          <w:rFonts w:hint="eastAsia" w:ascii="仿宋_GB2312" w:hAnsi="仿宋_GB2312" w:eastAsia="仿宋_GB2312" w:cs="仿宋_GB2312"/>
          <w:kern w:val="2"/>
          <w:sz w:val="32"/>
          <w:lang w:eastAsia="zh-CN" w:bidi="ar-SA"/>
        </w:rPr>
        <w:t>采集本单位生产经营活动涉及的主要风险信息，形成本单位风险清单。</w:t>
      </w:r>
    </w:p>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5" w:name="_Toc146029024"/>
      <w:r>
        <w:rPr>
          <w:rFonts w:hint="eastAsia" w:ascii="楷体_GB2312" w:hAnsi="楷体_GB2312" w:eastAsia="楷体_GB2312" w:cs="楷体_GB2312"/>
          <w:bCs/>
          <w:kern w:val="2"/>
          <w:sz w:val="32"/>
          <w:szCs w:val="32"/>
          <w:lang w:eastAsia="zh-CN" w:bidi="ar-SA"/>
        </w:rPr>
        <w:t>（四）风险辨识评估</w:t>
      </w:r>
      <w:bookmarkEnd w:id="5"/>
    </w:p>
    <w:p>
      <w:pPr>
        <w:autoSpaceDE/>
        <w:autoSpaceDN/>
        <w:spacing w:line="560" w:lineRule="exact"/>
        <w:ind w:firstLine="640"/>
        <w:jc w:val="both"/>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指导辖区</w:t>
      </w:r>
      <w:r>
        <w:rPr>
          <w:rFonts w:hint="eastAsia" w:ascii="仿宋_GB2312" w:hAnsi="仿宋_GB2312" w:eastAsia="仿宋_GB2312" w:cs="仿宋_GB2312"/>
          <w:kern w:val="2"/>
          <w:sz w:val="32"/>
          <w:lang w:val="en-US" w:eastAsia="zh-CN" w:bidi="ar-SA"/>
        </w:rPr>
        <w:t>2家</w:t>
      </w:r>
      <w:r>
        <w:rPr>
          <w:rFonts w:hint="eastAsia" w:ascii="仿宋_GB2312" w:hAnsi="仿宋_GB2312" w:eastAsia="仿宋_GB2312" w:cs="仿宋_GB2312"/>
          <w:kern w:val="2"/>
          <w:sz w:val="32"/>
          <w:szCs w:val="32"/>
          <w:lang w:eastAsia="zh-CN" w:bidi="ar-SA"/>
        </w:rPr>
        <w:t>电力企业、</w:t>
      </w:r>
      <w:r>
        <w:rPr>
          <w:rFonts w:hint="eastAsia" w:ascii="仿宋_GB2312" w:hAnsi="仿宋_GB2312" w:eastAsia="仿宋_GB2312" w:cs="仿宋_GB2312"/>
          <w:kern w:val="2"/>
          <w:sz w:val="32"/>
          <w:szCs w:val="32"/>
          <w:lang w:val="en-US" w:eastAsia="zh-CN" w:bidi="ar-SA"/>
        </w:rPr>
        <w:t>3家</w:t>
      </w:r>
      <w:r>
        <w:rPr>
          <w:rFonts w:hint="eastAsia" w:ascii="仿宋_GB2312" w:hAnsi="仿宋_GB2312" w:eastAsia="仿宋_GB2312" w:cs="仿宋_GB2312"/>
          <w:kern w:val="2"/>
          <w:sz w:val="32"/>
          <w:szCs w:val="32"/>
          <w:lang w:eastAsia="zh-CN" w:bidi="ar-SA"/>
        </w:rPr>
        <w:t>油气长输管道企业、</w:t>
      </w:r>
      <w:r>
        <w:rPr>
          <w:rFonts w:hint="eastAsia" w:ascii="仿宋_GB2312" w:hAnsi="仿宋_GB2312" w:eastAsia="仿宋_GB2312" w:cs="仿宋_GB2312"/>
          <w:kern w:val="2"/>
          <w:sz w:val="32"/>
          <w:szCs w:val="32"/>
          <w:lang w:val="en-US" w:eastAsia="zh-CN" w:bidi="ar-SA"/>
        </w:rPr>
        <w:t>200余家</w:t>
      </w:r>
      <w:r>
        <w:rPr>
          <w:rFonts w:hint="eastAsia" w:ascii="仿宋_GB2312" w:hAnsi="仿宋_GB2312" w:eastAsia="仿宋_GB2312" w:cs="仿宋_GB2312"/>
          <w:kern w:val="2"/>
          <w:sz w:val="32"/>
          <w:szCs w:val="32"/>
          <w:lang w:eastAsia="zh-CN" w:bidi="ar-SA"/>
        </w:rPr>
        <w:t>新能源汽车充电设施运营企业核实</w:t>
      </w:r>
      <w:r>
        <w:rPr>
          <w:rFonts w:hint="eastAsia" w:ascii="仿宋_GB2312" w:hAnsi="仿宋_GB2312" w:eastAsia="仿宋_GB2312" w:cs="仿宋_GB2312"/>
          <w:kern w:val="2"/>
          <w:sz w:val="32"/>
          <w:lang w:eastAsia="zh-CN" w:bidi="ar-SA"/>
        </w:rPr>
        <w:t>存量风险，辨识评估新增风险，并基于相应风险管控措施评估现实风险，形成辖区电力、油气长输管道、新能源汽车充电设施领域风险清单。</w:t>
      </w:r>
    </w:p>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6" w:name="_Toc146029025"/>
      <w:r>
        <w:rPr>
          <w:rFonts w:hint="eastAsia" w:ascii="楷体_GB2312" w:hAnsi="楷体_GB2312" w:eastAsia="楷体_GB2312" w:cs="楷体_GB2312"/>
          <w:bCs/>
          <w:kern w:val="2"/>
          <w:sz w:val="32"/>
          <w:szCs w:val="32"/>
          <w:lang w:eastAsia="zh-CN" w:bidi="ar-SA"/>
        </w:rPr>
        <w:t>（五）风险点危险源现场查验</w:t>
      </w:r>
      <w:bookmarkEnd w:id="6"/>
    </w:p>
    <w:p>
      <w:pPr>
        <w:autoSpaceDE/>
        <w:autoSpaceDN/>
        <w:spacing w:line="560" w:lineRule="exact"/>
        <w:ind w:firstLine="640"/>
        <w:jc w:val="both"/>
        <w:rPr>
          <w:rFonts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lang w:eastAsia="zh-CN" w:bidi="ar-SA"/>
        </w:rPr>
        <w:t>对各街道办，</w:t>
      </w:r>
      <w:r>
        <w:rPr>
          <w:rFonts w:hint="eastAsia" w:ascii="仿宋_GB2312" w:hAnsi="仿宋_GB2312" w:eastAsia="仿宋_GB2312" w:cs="仿宋_GB2312"/>
          <w:kern w:val="2"/>
          <w:sz w:val="32"/>
          <w:szCs w:val="32"/>
          <w:lang w:eastAsia="zh-CN" w:bidi="ar-SA"/>
        </w:rPr>
        <w:t>电力、油气长输管道、新能源汽车充电设施运营企业报送风险点危险源，逐一开展现场查验，审核完善辖区</w:t>
      </w:r>
      <w:r>
        <w:rPr>
          <w:rFonts w:hint="eastAsia" w:ascii="仿宋_GB2312" w:hAnsi="仿宋_GB2312" w:eastAsia="仿宋_GB2312" w:cs="仿宋_GB2312"/>
          <w:kern w:val="2"/>
          <w:sz w:val="32"/>
          <w:lang w:eastAsia="zh-CN" w:bidi="ar-SA"/>
        </w:rPr>
        <w:t>电</w:t>
      </w:r>
      <w:r>
        <w:rPr>
          <w:rFonts w:hint="eastAsia" w:ascii="仿宋_GB2312" w:hAnsi="仿宋_GB2312" w:eastAsia="仿宋_GB2312" w:cs="仿宋_GB2312"/>
          <w:kern w:val="2"/>
          <w:sz w:val="32"/>
          <w:szCs w:val="32"/>
          <w:lang w:eastAsia="zh-CN" w:bidi="ar-SA"/>
        </w:rPr>
        <w:t>力、油气长输管道、新能源汽车充电设施</w:t>
      </w:r>
      <w:r>
        <w:rPr>
          <w:rFonts w:hint="eastAsia" w:ascii="仿宋_GB2312" w:hAnsi="仿宋_GB2312" w:eastAsia="仿宋_GB2312" w:cs="仿宋_GB2312"/>
          <w:kern w:val="2"/>
          <w:sz w:val="32"/>
          <w:lang w:eastAsia="zh-CN" w:bidi="ar-SA"/>
        </w:rPr>
        <w:t>领域</w:t>
      </w:r>
      <w:r>
        <w:rPr>
          <w:rFonts w:hint="eastAsia" w:ascii="仿宋_GB2312" w:hAnsi="仿宋_GB2312" w:eastAsia="仿宋_GB2312" w:cs="仿宋_GB2312"/>
          <w:kern w:val="2"/>
          <w:sz w:val="32"/>
          <w:szCs w:val="32"/>
          <w:lang w:eastAsia="zh-CN" w:bidi="ar-SA"/>
        </w:rPr>
        <w:t>风险清单。</w:t>
      </w:r>
    </w:p>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7" w:name="_Toc146029026"/>
      <w:r>
        <w:rPr>
          <w:rFonts w:hint="eastAsia" w:ascii="楷体_GB2312" w:hAnsi="楷体_GB2312" w:eastAsia="楷体_GB2312" w:cs="楷体_GB2312"/>
          <w:bCs/>
          <w:kern w:val="2"/>
          <w:sz w:val="32"/>
          <w:szCs w:val="32"/>
          <w:lang w:eastAsia="zh-CN" w:bidi="ar-SA"/>
        </w:rPr>
        <w:t>（六）风险评估报告编制</w:t>
      </w:r>
      <w:bookmarkEnd w:id="7"/>
    </w:p>
    <w:p>
      <w:pPr>
        <w:autoSpaceDE/>
        <w:autoSpaceDN/>
        <w:spacing w:line="560" w:lineRule="exact"/>
        <w:ind w:firstLine="640"/>
        <w:jc w:val="both"/>
        <w:rPr>
          <w:lang w:eastAsia="zh-CN"/>
        </w:rPr>
      </w:pPr>
      <w:r>
        <w:rPr>
          <w:rFonts w:hint="eastAsia" w:ascii="仿宋_GB2312" w:hAnsi="仿宋_GB2312" w:eastAsia="仿宋_GB2312" w:cs="仿宋_GB2312"/>
          <w:kern w:val="2"/>
          <w:sz w:val="32"/>
          <w:szCs w:val="32"/>
          <w:lang w:eastAsia="zh-CN" w:bidi="ar-SA"/>
        </w:rPr>
        <w:t>编制《龙华区电力领域</w:t>
      </w:r>
      <w:r>
        <w:rPr>
          <w:rFonts w:hint="eastAsia" w:ascii="仿宋_GB2312" w:hAnsi="仿宋_GB2312" w:eastAsia="仿宋_GB2312" w:cs="仿宋_GB2312"/>
          <w:kern w:val="2"/>
          <w:sz w:val="32"/>
          <w:lang w:eastAsia="zh-CN" w:bidi="ar-SA"/>
        </w:rPr>
        <w:t>事故灾难类安全风险评估报告</w:t>
      </w:r>
      <w:r>
        <w:rPr>
          <w:rFonts w:hint="eastAsia" w:ascii="仿宋_GB2312" w:hAnsi="仿宋_GB2312" w:eastAsia="仿宋_GB2312" w:cs="仿宋_GB2312"/>
          <w:kern w:val="2"/>
          <w:sz w:val="32"/>
          <w:szCs w:val="32"/>
          <w:lang w:eastAsia="zh-CN" w:bidi="ar-SA"/>
        </w:rPr>
        <w:t>》、《龙华区油气长输管道领域</w:t>
      </w:r>
      <w:r>
        <w:rPr>
          <w:rFonts w:hint="eastAsia" w:ascii="仿宋_GB2312" w:hAnsi="仿宋_GB2312" w:eastAsia="仿宋_GB2312" w:cs="仿宋_GB2312"/>
          <w:kern w:val="2"/>
          <w:sz w:val="32"/>
          <w:lang w:eastAsia="zh-CN" w:bidi="ar-SA"/>
        </w:rPr>
        <w:t>事故灾难类安全风险评估报告</w:t>
      </w:r>
      <w:r>
        <w:rPr>
          <w:rFonts w:hint="eastAsia" w:ascii="仿宋_GB2312" w:hAnsi="仿宋_GB2312" w:eastAsia="仿宋_GB2312" w:cs="仿宋_GB2312"/>
          <w:kern w:val="2"/>
          <w:sz w:val="32"/>
          <w:szCs w:val="32"/>
          <w:lang w:eastAsia="zh-CN" w:bidi="ar-SA"/>
        </w:rPr>
        <w:t>》、《龙华区新能源汽车充电汽车设施领域</w:t>
      </w:r>
      <w:r>
        <w:rPr>
          <w:rFonts w:hint="eastAsia" w:ascii="仿宋_GB2312" w:hAnsi="仿宋_GB2312" w:eastAsia="仿宋_GB2312" w:cs="仿宋_GB2312"/>
          <w:kern w:val="2"/>
          <w:sz w:val="32"/>
          <w:lang w:eastAsia="zh-CN" w:bidi="ar-SA"/>
        </w:rPr>
        <w:t>事故灾难类安全风险评估报告</w:t>
      </w:r>
      <w:r>
        <w:rPr>
          <w:rFonts w:hint="eastAsia" w:ascii="仿宋_GB2312" w:hAnsi="仿宋_GB2312" w:eastAsia="仿宋_GB2312" w:cs="仿宋_GB2312"/>
          <w:kern w:val="2"/>
          <w:sz w:val="32"/>
          <w:szCs w:val="32"/>
          <w:lang w:eastAsia="zh-CN" w:bidi="ar-SA"/>
        </w:rPr>
        <w:t>》和</w:t>
      </w:r>
      <w:r>
        <w:rPr>
          <w:rFonts w:hint="eastAsia" w:ascii="仿宋_GB2312" w:hAnsi="仿宋_GB2312" w:eastAsia="仿宋_GB2312" w:cs="仿宋_GB2312"/>
          <w:kern w:val="2"/>
          <w:sz w:val="32"/>
          <w:lang w:eastAsia="zh-CN" w:bidi="ar-SA"/>
        </w:rPr>
        <w:t>《龙华区2023-2024年度电力、油气长输管道、新能源汽车充电设施领域事故灾难类安全风险评估报告》。</w:t>
      </w:r>
    </w:p>
    <w:p>
      <w:pPr>
        <w:autoSpaceDE/>
        <w:autoSpaceDN/>
        <w:spacing w:line="560" w:lineRule="exact"/>
        <w:ind w:firstLine="640"/>
        <w:jc w:val="both"/>
        <w:outlineLvl w:val="1"/>
        <w:rPr>
          <w:rFonts w:ascii="楷体_GB2312" w:hAnsi="楷体_GB2312" w:eastAsia="楷体_GB2312" w:cs="楷体_GB2312"/>
          <w:bCs/>
          <w:kern w:val="2"/>
          <w:sz w:val="32"/>
          <w:szCs w:val="32"/>
          <w:lang w:eastAsia="zh-CN" w:bidi="ar-SA"/>
        </w:rPr>
      </w:pPr>
      <w:bookmarkStart w:id="8" w:name="_Toc146029027"/>
      <w:r>
        <w:rPr>
          <w:rFonts w:hint="eastAsia" w:ascii="楷体_GB2312" w:hAnsi="楷体_GB2312" w:eastAsia="楷体_GB2312" w:cs="楷体_GB2312"/>
          <w:bCs/>
          <w:kern w:val="2"/>
          <w:sz w:val="32"/>
          <w:szCs w:val="32"/>
          <w:lang w:eastAsia="zh-CN" w:bidi="ar-SA"/>
        </w:rPr>
        <w:t>（七）风险动态管控</w:t>
      </w:r>
      <w:bookmarkEnd w:id="8"/>
    </w:p>
    <w:p>
      <w:pPr>
        <w:autoSpaceDE/>
        <w:autoSpaceDN/>
        <w:spacing w:line="560" w:lineRule="exact"/>
        <w:ind w:firstLine="640"/>
        <w:jc w:val="both"/>
        <w:rPr>
          <w:rFonts w:hint="eastAsia" w:ascii="仿宋_GB2312" w:hAnsi="仿宋_GB2312" w:eastAsia="仿宋_GB2312" w:cs="仿宋_GB2312"/>
          <w:kern w:val="2"/>
          <w:sz w:val="32"/>
          <w:lang w:eastAsia="zh-CN" w:bidi="ar-SA"/>
        </w:rPr>
      </w:pPr>
      <w:r>
        <w:rPr>
          <w:rFonts w:hint="eastAsia" w:ascii="仿宋_GB2312" w:hAnsi="仿宋_GB2312" w:eastAsia="仿宋_GB2312" w:cs="仿宋_GB2312"/>
          <w:kern w:val="2"/>
          <w:sz w:val="32"/>
          <w:szCs w:val="32"/>
          <w:lang w:eastAsia="zh-CN" w:bidi="ar-SA"/>
        </w:rPr>
        <w:t>根据辖区电力、油气长输管道、新能源汽车充电设施运营企业实际风险点危险源及管控措施变化情况，进行现场查验</w:t>
      </w:r>
      <w:r>
        <w:rPr>
          <w:rFonts w:hint="eastAsia" w:ascii="仿宋_GB2312" w:hAnsi="仿宋_GB2312" w:eastAsia="仿宋_GB2312" w:cs="仿宋_GB2312"/>
          <w:kern w:val="2"/>
          <w:sz w:val="32"/>
          <w:lang w:eastAsia="zh-CN" w:bidi="ar-SA"/>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三、项目技术要求</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w:t>
      </w:r>
      <w:r>
        <w:rPr>
          <w:rFonts w:hint="eastAsia" w:ascii="仿宋_GB2312" w:hAnsi="Times New Roman" w:eastAsia="仿宋_GB2312"/>
          <w:b w:val="0"/>
          <w:lang w:val="en-US" w:eastAsia="zh-CN"/>
        </w:rPr>
        <w:t>一）龙华区2023-2024年度电力、油气长输管道、新能源汽车充电设施领域安全风险评估遵循</w:t>
      </w:r>
      <w:r>
        <w:rPr>
          <w:rFonts w:hint="eastAsia" w:ascii="仿宋_GB2312" w:hAnsi="Times New Roman" w:eastAsia="仿宋_GB2312"/>
          <w:b w:val="0"/>
        </w:rPr>
        <w:t>国家颁布的有关法律、法规及政策要求，符合相关的技术规范和标准。</w:t>
      </w:r>
    </w:p>
    <w:p>
      <w:pPr>
        <w:keepNext w:val="0"/>
        <w:keepLines w:val="0"/>
        <w:pageBreakBefore w:val="0"/>
        <w:widowControl w:val="0"/>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color w:val="000000" w:themeColor="text1"/>
          <w:kern w:val="2"/>
          <w:sz w:val="32"/>
          <w:lang w:eastAsia="zh-CN" w:bidi="ar-SA"/>
          <w14:textFill>
            <w14:solidFill>
              <w14:schemeClr w14:val="tx1"/>
            </w14:solidFill>
          </w14:textFill>
        </w:rPr>
      </w:pPr>
      <w:r>
        <w:rPr>
          <w:rFonts w:hint="eastAsia" w:ascii="仿宋_GB2312" w:hAnsi="Times New Roman" w:eastAsia="仿宋_GB2312"/>
          <w:b w:val="0"/>
        </w:rPr>
        <w:t>（二）</w:t>
      </w:r>
      <w:r>
        <w:rPr>
          <w:rFonts w:hint="eastAsia" w:ascii="仿宋_GB2312" w:hAnsi="Times New Roman" w:eastAsia="仿宋_GB2312"/>
          <w:b w:val="0"/>
          <w:lang w:val="en-US" w:eastAsia="zh-CN"/>
        </w:rPr>
        <w:t>项目开展</w:t>
      </w:r>
      <w:r>
        <w:rPr>
          <w:rFonts w:hint="eastAsia" w:ascii="仿宋_GB2312" w:hAnsi="Times New Roman" w:eastAsia="仿宋_GB2312"/>
          <w:b w:val="0"/>
        </w:rPr>
        <w:t>过程中应当进行深入调查研究，</w:t>
      </w:r>
      <w:r>
        <w:rPr>
          <w:rFonts w:hint="eastAsia" w:ascii="仿宋_GB2312" w:hAnsi="仿宋_GB2312" w:eastAsia="仿宋_GB2312" w:cs="仿宋_GB2312"/>
          <w:color w:val="000000" w:themeColor="text1"/>
          <w:kern w:val="2"/>
          <w:sz w:val="32"/>
          <w:lang w:eastAsia="zh-CN" w:bidi="ar-SA"/>
          <w14:textFill>
            <w14:solidFill>
              <w14:schemeClr w14:val="tx1"/>
            </w14:solidFill>
          </w14:textFill>
        </w:rPr>
        <w:t>焦电力、油气长输管道、新能源汽车充电设施、领域风险点危险源，辨识、评估安全风险，全面摸清辖区电力、油气长输管道、新能源汽车充电设施领域风险底数，为做好安全风险分级管控工作，增强防范化解重大风险能力提供坚实的基础支撑。</w:t>
      </w:r>
      <w:bookmarkStart w:id="9" w:name="_Hlk35510040"/>
    </w:p>
    <w:bookmarkEnd w:id="9"/>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四、项目成果交付要求</w:t>
      </w:r>
    </w:p>
    <w:p>
      <w:pPr>
        <w:ind w:firstLine="640"/>
      </w:pPr>
      <w:bookmarkStart w:id="10" w:name="_Hlk102754525"/>
      <w:r>
        <w:rPr>
          <w:rFonts w:hint="eastAsia"/>
        </w:rPr>
        <w:t>（一）《龙华区电力领域事故灾难类安全风险评估报告》</w:t>
      </w:r>
    </w:p>
    <w:p>
      <w:pPr>
        <w:ind w:firstLine="640"/>
      </w:pPr>
      <w:r>
        <w:rPr>
          <w:rFonts w:hint="eastAsia"/>
        </w:rPr>
        <w:t>（二）《龙华区油气长输管道领域事故灾难类安全风险评估报告》</w:t>
      </w:r>
    </w:p>
    <w:p>
      <w:pPr>
        <w:ind w:firstLine="640"/>
      </w:pPr>
      <w:r>
        <w:rPr>
          <w:rFonts w:hint="eastAsia"/>
        </w:rPr>
        <w:t>（三）《龙华区新能源充电汽车设施领域事故灾难类安全风险评估报告》</w:t>
      </w:r>
    </w:p>
    <w:p>
      <w:pPr>
        <w:ind w:firstLine="640"/>
      </w:pPr>
      <w:r>
        <w:rPr>
          <w:rFonts w:hint="eastAsia"/>
        </w:rPr>
        <w:t>（四）《龙华区2023-2024年度电力、油气长输管道、新能源汽车充电设施领域事故灾难类安全风险评估报告》</w:t>
      </w:r>
    </w:p>
    <w:bookmarkEnd w:id="10"/>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五、项目保密要求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中标人应当对其在项目开展过程中所知悉的国家秘密、商业秘密和技术秘密负有保密责任，建立并实施相应的保密措施，具体保密要求如下：</w:t>
      </w:r>
    </w:p>
    <w:p>
      <w:pPr>
        <w:pStyle w:val="5"/>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（一）中标人不得利用所获取、掌握的采购人及其他政府部门的任何保密内容从事采购人及其他政府部门授权工作以外的任何事情，不得披露、允许第三方使用。</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（二）中标人按照采购人要求完成项目后，须立即将项目成果提交采购人存档，未经采购人许可，不得向第三方披露。</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六、投标资格要求</w:t>
      </w:r>
    </w:p>
    <w:p>
      <w:pPr>
        <w:widowControl w:val="0"/>
        <w:autoSpaceDE/>
        <w:autoSpaceDN/>
        <w:spacing w:line="560" w:lineRule="exact"/>
        <w:ind w:firstLine="640"/>
        <w:jc w:val="both"/>
        <w:rPr>
          <w:rFonts w:ascii="仿宋_GB2312" w:hAnsi="仿宋_GB2312" w:eastAsia="仿宋_GB2312" w:cs="仿宋_GB2312"/>
          <w:kern w:val="2"/>
          <w:sz w:val="32"/>
          <w:szCs w:val="32"/>
          <w:lang w:eastAsia="zh-CN" w:bidi="ar-SA"/>
        </w:rPr>
      </w:pPr>
      <w:r>
        <w:rPr>
          <w:rFonts w:ascii="仿宋_GB2312" w:hAnsi="仿宋_GB2312" w:eastAsia="仿宋_GB2312" w:cs="仿宋_GB2312"/>
          <w:color w:val="000000"/>
          <w:kern w:val="2"/>
          <w:sz w:val="32"/>
          <w:szCs w:val="32"/>
          <w:lang w:eastAsia="zh-CN" w:bidi="ar-SA"/>
        </w:rPr>
        <w:t xml:space="preserve">（一）具有独立承担民事责任能力的在中华人民共和国境内注册的法人或具有独立承担民事责任能力的其它组织（提供营业执照或事业单位法人证书等法人证明扫描件）。 </w:t>
      </w:r>
    </w:p>
    <w:p>
      <w:pPr>
        <w:widowControl w:val="0"/>
        <w:autoSpaceDE/>
        <w:autoSpaceDN/>
        <w:spacing w:line="560" w:lineRule="exact"/>
        <w:ind w:firstLine="640"/>
        <w:jc w:val="both"/>
        <w:rPr>
          <w:rFonts w:ascii="仿宋_GB2312" w:hAnsi="仿宋_GB2312" w:eastAsia="仿宋_GB2312" w:cs="仿宋_GB2312"/>
          <w:kern w:val="2"/>
          <w:sz w:val="32"/>
          <w:szCs w:val="32"/>
          <w:lang w:eastAsia="zh-CN" w:bidi="ar-SA"/>
        </w:rPr>
      </w:pPr>
      <w:r>
        <w:rPr>
          <w:rFonts w:ascii="仿宋_GB2312" w:hAnsi="仿宋_GB2312" w:eastAsia="仿宋_GB2312" w:cs="仿宋_GB2312"/>
          <w:color w:val="000000"/>
          <w:kern w:val="2"/>
          <w:sz w:val="32"/>
          <w:szCs w:val="32"/>
          <w:lang w:eastAsia="zh-CN" w:bidi="ar-SA"/>
        </w:rPr>
        <w:t>（二）</w:t>
      </w:r>
      <w:r>
        <w:rPr>
          <w:rFonts w:hint="eastAsia" w:ascii="仿宋_GB2312" w:hAnsi="仿宋_GB2312" w:eastAsia="仿宋_GB2312" w:cs="仿宋_GB2312"/>
          <w:color w:val="auto"/>
          <w:kern w:val="2"/>
          <w:sz w:val="32"/>
          <w:szCs w:val="32"/>
          <w:lang w:eastAsia="zh-CN" w:bidi="ar-SA"/>
        </w:rPr>
        <w:t>参加本次政府采购活动前3年内在经营活动中没有重大违法记录（提供信用中国网或中国政府采购网或深圳市政府采购监督管理网或深圳公共资源交易中心市区政府采购统一平台或“国家企业信用信息公示系统等官网查询记录证明，并在《政府采购投标及履约承诺函》中作出声明）。</w:t>
      </w:r>
      <w:r>
        <w:rPr>
          <w:rFonts w:ascii="仿宋_GB2312" w:hAnsi="仿宋_GB2312" w:eastAsia="仿宋_GB2312" w:cs="仿宋_GB2312"/>
          <w:color w:val="000000"/>
          <w:kern w:val="2"/>
          <w:sz w:val="32"/>
          <w:szCs w:val="32"/>
          <w:lang w:eastAsia="zh-CN" w:bidi="ar-SA"/>
        </w:rPr>
        <w:t xml:space="preserve"> </w:t>
      </w:r>
    </w:p>
    <w:p>
      <w:pPr>
        <w:widowControl w:val="0"/>
        <w:autoSpaceDE/>
        <w:autoSpaceDN/>
        <w:spacing w:line="560" w:lineRule="exact"/>
        <w:ind w:firstLine="640"/>
        <w:jc w:val="both"/>
        <w:rPr>
          <w:rFonts w:ascii="仿宋_GB2312" w:hAnsi="仿宋_GB2312" w:eastAsia="仿宋_GB2312" w:cs="仿宋_GB2312"/>
          <w:kern w:val="2"/>
          <w:sz w:val="32"/>
          <w:szCs w:val="32"/>
          <w:lang w:eastAsia="zh-CN" w:bidi="ar-SA"/>
        </w:rPr>
      </w:pPr>
      <w:r>
        <w:rPr>
          <w:rFonts w:ascii="仿宋_GB2312" w:hAnsi="仿宋_GB2312" w:eastAsia="仿宋_GB2312" w:cs="仿宋_GB2312"/>
          <w:color w:val="000000"/>
          <w:kern w:val="2"/>
          <w:sz w:val="32"/>
          <w:szCs w:val="32"/>
          <w:lang w:eastAsia="zh-CN" w:bidi="ar-SA"/>
        </w:rPr>
        <w:t>（三）参与本项目政府采购活动时不存在被有关部门禁止参与政府采购活动且在有效期内的情况（由供应商在《政府采购投标及履约承诺函》中作出声明）</w:t>
      </w:r>
      <w:r>
        <w:rPr>
          <w:rFonts w:hint="eastAsia" w:ascii="仿宋_GB2312" w:hAnsi="仿宋_GB2312" w:eastAsia="仿宋_GB2312" w:cs="仿宋_GB2312"/>
          <w:kern w:val="2"/>
          <w:sz w:val="32"/>
          <w:szCs w:val="32"/>
          <w:lang w:eastAsia="zh-CN" w:bidi="ar-SA"/>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七、投标时间、地点及联系人</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color w:val="auto"/>
          <w:highlight w:val="none"/>
        </w:rPr>
        <w:t>2023</w:t>
      </w:r>
      <w:r>
        <w:rPr>
          <w:rFonts w:hint="eastAsia" w:ascii="仿宋_GB2312" w:hAnsi="Times New Roman" w:eastAsia="仿宋_GB2312"/>
          <w:b w:val="0"/>
          <w:color w:val="auto"/>
          <w:highlight w:val="none"/>
        </w:rPr>
        <w:t>年</w:t>
      </w:r>
      <w:r>
        <w:rPr>
          <w:rFonts w:hint="eastAsia" w:hAnsi="Times New Roman"/>
          <w:b w:val="0"/>
          <w:color w:val="auto"/>
          <w:highlight w:val="none"/>
          <w:lang w:val="en-US" w:eastAsia="zh-CN"/>
        </w:rPr>
        <w:t>11</w:t>
      </w:r>
      <w:r>
        <w:rPr>
          <w:rFonts w:hint="eastAsia" w:ascii="仿宋_GB2312" w:hAnsi="Times New Roman" w:eastAsia="仿宋_GB2312"/>
          <w:b w:val="0"/>
          <w:color w:val="auto"/>
          <w:highlight w:val="none"/>
        </w:rPr>
        <w:t>月</w:t>
      </w:r>
      <w:r>
        <w:rPr>
          <w:rFonts w:hint="eastAsia" w:hAnsi="Times New Roman"/>
          <w:b w:val="0"/>
          <w:color w:val="auto"/>
          <w:highlight w:val="none"/>
          <w:lang w:val="en-US" w:eastAsia="zh-CN"/>
        </w:rPr>
        <w:t>3</w:t>
      </w:r>
      <w:r>
        <w:rPr>
          <w:rFonts w:hint="eastAsia" w:ascii="仿宋_GB2312" w:hAnsi="Times New Roman" w:eastAsia="仿宋_GB2312"/>
          <w:b w:val="0"/>
          <w:color w:val="auto"/>
          <w:highlight w:val="none"/>
        </w:rPr>
        <w:t>日至</w:t>
      </w:r>
      <w:r>
        <w:rPr>
          <w:rFonts w:ascii="仿宋_GB2312" w:hAnsi="Times New Roman" w:eastAsia="仿宋_GB2312"/>
          <w:b w:val="0"/>
          <w:color w:val="auto"/>
          <w:highlight w:val="none"/>
        </w:rPr>
        <w:t>2023</w:t>
      </w:r>
      <w:r>
        <w:rPr>
          <w:rFonts w:hint="eastAsia" w:ascii="仿宋_GB2312" w:hAnsi="Times New Roman" w:eastAsia="仿宋_GB2312"/>
          <w:b w:val="0"/>
          <w:color w:val="auto"/>
          <w:highlight w:val="none"/>
        </w:rPr>
        <w:t>年</w:t>
      </w:r>
      <w:r>
        <w:rPr>
          <w:rFonts w:hint="eastAsia" w:hAnsi="Times New Roman"/>
          <w:b w:val="0"/>
          <w:color w:val="auto"/>
          <w:highlight w:val="none"/>
          <w:lang w:val="en-US" w:eastAsia="zh-CN"/>
        </w:rPr>
        <w:t>11</w:t>
      </w:r>
      <w:r>
        <w:rPr>
          <w:rFonts w:hint="eastAsia" w:ascii="仿宋_GB2312" w:hAnsi="Times New Roman" w:eastAsia="仿宋_GB2312"/>
          <w:b w:val="0"/>
          <w:color w:val="auto"/>
          <w:highlight w:val="none"/>
        </w:rPr>
        <w:t>月</w:t>
      </w:r>
      <w:r>
        <w:rPr>
          <w:rFonts w:hint="eastAsia" w:hAnsi="Times New Roman"/>
          <w:b w:val="0"/>
          <w:color w:val="auto"/>
          <w:highlight w:val="none"/>
          <w:lang w:val="en-US" w:eastAsia="zh-CN"/>
        </w:rPr>
        <w:t>7</w:t>
      </w:r>
      <w:r>
        <w:rPr>
          <w:rFonts w:hint="eastAsia" w:ascii="仿宋_GB2312" w:hAnsi="Times New Roman" w:eastAsia="仿宋_GB2312"/>
          <w:b w:val="0"/>
          <w:color w:val="auto"/>
          <w:highlight w:val="none"/>
        </w:rPr>
        <w:t>日</w:t>
      </w:r>
      <w:r>
        <w:rPr>
          <w:rFonts w:hint="eastAsia" w:ascii="仿宋_GB2312" w:hAnsi="Times New Roman" w:eastAsia="仿宋_GB2312"/>
          <w:b w:val="0"/>
          <w:color w:val="auto"/>
          <w:highlight w:val="none"/>
          <w:lang w:val="en-US" w:eastAsia="zh-CN"/>
        </w:rPr>
        <w:t>（以正式发布为准）</w:t>
      </w:r>
      <w:r>
        <w:rPr>
          <w:rFonts w:hint="eastAsia" w:ascii="仿宋_GB2312" w:hAnsi="Times New Roman" w:eastAsia="仿宋_GB2312"/>
          <w:b w:val="0"/>
        </w:rPr>
        <w:t>，每日上午</w:t>
      </w:r>
      <w:r>
        <w:rPr>
          <w:rFonts w:ascii="仿宋_GB2312" w:hAnsi="Times New Roman" w:eastAsia="仿宋_GB2312"/>
          <w:b w:val="0"/>
        </w:rPr>
        <w:t>9:00-12:00，下午2:00-</w:t>
      </w:r>
      <w:r>
        <w:rPr>
          <w:rFonts w:hint="eastAsia" w:hAnsi="Times New Roman"/>
          <w:b w:val="0"/>
          <w:lang w:val="en-US" w:eastAsia="zh-CN"/>
        </w:rPr>
        <w:t>6</w:t>
      </w:r>
      <w:r>
        <w:rPr>
          <w:rFonts w:ascii="仿宋_GB2312" w:hAnsi="Times New Roman" w:eastAsia="仿宋_GB2312"/>
          <w:b w:val="0"/>
        </w:rPr>
        <w:t>:</w:t>
      </w:r>
      <w:r>
        <w:rPr>
          <w:rFonts w:hint="eastAsia" w:hAnsi="Times New Roman"/>
          <w:b w:val="0"/>
          <w:lang w:val="en-US" w:eastAsia="zh-CN"/>
        </w:rPr>
        <w:t>00</w:t>
      </w:r>
      <w:r>
        <w:rPr>
          <w:rFonts w:ascii="仿宋_GB2312" w:hAnsi="Times New Roman" w:eastAsia="仿宋_GB2312"/>
          <w:b w:val="0"/>
        </w:rPr>
        <w:t>（节假日除外）。逾期未投标将不再受理。</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（二）投标地点：深圳市龙华区龙华街道清泉路7号富康行政服务办公区</w:t>
      </w:r>
      <w:r>
        <w:rPr>
          <w:rFonts w:hint="eastAsia" w:ascii="仿宋_GB2312" w:hAnsi="Times New Roman" w:eastAsia="仿宋_GB2312"/>
          <w:b w:val="0"/>
          <w:lang w:val="en-US" w:eastAsia="zh-CN"/>
        </w:rPr>
        <w:t>19</w:t>
      </w:r>
      <w:r>
        <w:rPr>
          <w:rFonts w:hint="eastAsia" w:ascii="仿宋_GB2312" w:hAnsi="Times New Roman" w:eastAsia="仿宋_GB2312"/>
          <w:b w:val="0"/>
          <w:lang w:eastAsia="zh-CN"/>
        </w:rPr>
        <w:t>楼</w:t>
      </w:r>
      <w:r>
        <w:rPr>
          <w:rFonts w:hint="eastAsia" w:ascii="仿宋_GB2312" w:hAnsi="Times New Roman" w:eastAsia="仿宋_GB2312"/>
          <w:b w:val="0"/>
          <w:lang w:val="en-US" w:eastAsia="zh-CN"/>
        </w:rPr>
        <w:t>A1902，</w:t>
      </w:r>
      <w:r>
        <w:rPr>
          <w:rFonts w:hint="eastAsia" w:ascii="仿宋_GB2312" w:hAnsi="Times New Roman" w:eastAsia="仿宋_GB2312"/>
          <w:b w:val="0"/>
        </w:rPr>
        <w:t>深圳市龙华区发展和改革局</w:t>
      </w:r>
      <w:r>
        <w:rPr>
          <w:rFonts w:hint="eastAsia" w:ascii="仿宋_GB2312" w:hAnsi="Times New Roman" w:eastAsia="仿宋_GB2312"/>
          <w:b w:val="0"/>
          <w:lang w:eastAsia="zh-CN"/>
        </w:rPr>
        <w:t>办公室</w:t>
      </w:r>
      <w:r>
        <w:rPr>
          <w:rFonts w:ascii="仿宋_GB2312" w:hAnsi="Times New Roman" w:eastAsia="仿宋_GB2312"/>
          <w:b w:val="0"/>
        </w:rPr>
        <w:t>。</w:t>
      </w:r>
    </w:p>
    <w:p>
      <w:pPr>
        <w:pStyle w:val="5"/>
        <w:keepNext w:val="0"/>
        <w:keepLines w:val="0"/>
        <w:spacing w:before="0" w:after="0" w:line="560" w:lineRule="exact"/>
        <w:ind w:firstLine="640" w:firstLineChars="200"/>
        <w:rPr>
          <w:rFonts w:hint="default" w:ascii="仿宋_GB2312" w:hAnsi="Times New Roman" w:eastAsia="仿宋_GB2312"/>
          <w:lang w:val="en-US" w:eastAsia="zh-CN"/>
        </w:rPr>
      </w:pPr>
      <w:r>
        <w:rPr>
          <w:rFonts w:hint="eastAsia" w:ascii="仿宋_GB2312" w:hAnsi="Times New Roman" w:eastAsia="仿宋_GB2312"/>
          <w:b w:val="0"/>
        </w:rPr>
        <w:t>（三）联系</w:t>
      </w:r>
      <w:r>
        <w:rPr>
          <w:rFonts w:hint="eastAsia" w:ascii="仿宋_GB2312" w:hAnsi="Times New Roman" w:eastAsia="仿宋_GB2312"/>
          <w:b w:val="0"/>
          <w:lang w:eastAsia="zh-CN"/>
        </w:rPr>
        <w:t>人及</w:t>
      </w:r>
      <w:r>
        <w:rPr>
          <w:rFonts w:hint="eastAsia" w:ascii="仿宋_GB2312" w:hAnsi="Times New Roman" w:eastAsia="仿宋_GB2312"/>
          <w:b w:val="0"/>
        </w:rPr>
        <w:t>电话：</w:t>
      </w:r>
      <w:r>
        <w:rPr>
          <w:rFonts w:hint="eastAsia" w:ascii="仿宋_GB2312" w:hAnsi="Times New Roman" w:eastAsia="仿宋_GB2312"/>
          <w:b w:val="0"/>
          <w:lang w:eastAsia="zh-CN"/>
        </w:rPr>
        <w:t>李石磊</w:t>
      </w:r>
      <w:r>
        <w:rPr>
          <w:rFonts w:hint="eastAsia" w:ascii="仿宋_GB2312" w:hAnsi="Times New Roman" w:eastAsia="仿宋_GB2312"/>
          <w:b w:val="0"/>
          <w:lang w:val="en-US" w:eastAsia="zh-CN"/>
        </w:rPr>
        <w:t>，0755-23338510</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八、投标文件递交内容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000000"/>
          <w:sz w:val="32"/>
          <w:szCs w:val="32"/>
          <w:lang w:val="en-US" w:eastAsia="zh-CN"/>
        </w:rPr>
      </w:pPr>
      <w:r>
        <w:rPr>
          <w:rFonts w:hint="eastAsia" w:cs="仿宋_GB2312"/>
          <w:b w:val="0"/>
          <w:bCs w:val="0"/>
          <w:color w:val="000000"/>
          <w:sz w:val="32"/>
          <w:szCs w:val="32"/>
          <w:lang w:val="en-US" w:eastAsia="zh-CN"/>
        </w:rPr>
        <w:t>（一）</w:t>
      </w:r>
      <w:r>
        <w:rPr>
          <w:rFonts w:hint="eastAsia" w:ascii="仿宋_GB2312" w:eastAsia="仿宋_GB2312" w:cs="仿宋_GB2312"/>
          <w:b w:val="0"/>
          <w:bCs w:val="0"/>
          <w:color w:val="000000"/>
          <w:sz w:val="32"/>
          <w:szCs w:val="32"/>
          <w:lang w:val="en-US" w:eastAsia="zh-CN"/>
        </w:rPr>
        <w:t>活动报价单。以表格形式列举每一项服务内容的技术人员等级、人数、工作天数和总价；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（二）</w:t>
      </w:r>
      <w:r>
        <w:rPr>
          <w:rFonts w:hint="eastAsia" w:ascii="仿宋_GB2312" w:eastAsia="仿宋_GB2312" w:cs="仿宋_GB2312"/>
          <w:b w:val="0"/>
          <w:bCs w:val="0"/>
          <w:color w:val="auto"/>
          <w:sz w:val="32"/>
          <w:szCs w:val="32"/>
          <w:lang w:val="en-US" w:eastAsia="zh-CN"/>
        </w:rPr>
        <w:t>项目方案介绍。包括实施方案、重难点分析、质量保障措施及方案、服务承诺等相关描述；</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（三）</w:t>
      </w:r>
      <w:r>
        <w:rPr>
          <w:rFonts w:hint="eastAsia" w:ascii="仿宋_GB2312" w:eastAsia="仿宋_GB2312" w:cs="仿宋_GB2312"/>
          <w:b w:val="0"/>
          <w:bCs w:val="0"/>
          <w:color w:val="auto"/>
          <w:sz w:val="32"/>
          <w:szCs w:val="32"/>
          <w:lang w:val="en-US" w:eastAsia="zh-CN"/>
        </w:rPr>
        <w:t>公司简介。简要介绍公司背景、项目能力等；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（四）</w:t>
      </w:r>
      <w:r>
        <w:rPr>
          <w:rFonts w:hint="eastAsia" w:ascii="仿宋_GB2312" w:eastAsia="仿宋_GB2312" w:cs="仿宋_GB2312"/>
          <w:b w:val="0"/>
          <w:bCs w:val="0"/>
          <w:color w:val="auto"/>
          <w:sz w:val="32"/>
          <w:szCs w:val="32"/>
          <w:lang w:val="en-US" w:eastAsia="zh-CN"/>
        </w:rPr>
        <w:t>信誉证明材料。包括但不限于企业营业执照、注册登记信息证明、股东成分等信息；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Courier New" w:eastAsia="宋体" w:cs="Times New Roman"/>
          <w:kern w:val="2"/>
          <w:sz w:val="21"/>
          <w:szCs w:val="21"/>
          <w:lang w:val="en-US" w:eastAsia="zh-CN" w:bidi="ar-SA"/>
        </w:rPr>
      </w:pPr>
      <w:r>
        <w:rPr>
          <w:rFonts w:hint="eastAsia" w:hAnsi="Courier New" w:cs="仿宋_GB2312"/>
          <w:b w:val="0"/>
          <w:bCs w:val="0"/>
          <w:color w:val="auto"/>
          <w:kern w:val="2"/>
          <w:sz w:val="32"/>
          <w:szCs w:val="32"/>
          <w:lang w:val="en-US" w:eastAsia="zh-CN" w:bidi="ar-SA"/>
        </w:rPr>
        <w:t>（五）</w:t>
      </w:r>
      <w:r>
        <w:rPr>
          <w:rFonts w:hint="eastAsia" w:ascii="仿宋_GB2312" w:hAnsi="Courier New" w:eastAsia="仿宋_GB2312" w:cs="仿宋_GB2312"/>
          <w:b w:val="0"/>
          <w:bCs w:val="0"/>
          <w:color w:val="auto"/>
          <w:kern w:val="2"/>
          <w:sz w:val="32"/>
          <w:szCs w:val="32"/>
          <w:lang w:val="en-US" w:eastAsia="zh-CN" w:bidi="ar-SA"/>
        </w:rPr>
        <w:t>项目案例。列举既往活动项目案例，政府活动优先考虑，需提供佐证材料；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cs="仿宋_GB2312"/>
          <w:b w:val="0"/>
          <w:bCs w:val="0"/>
          <w:color w:val="auto"/>
          <w:sz w:val="32"/>
          <w:szCs w:val="32"/>
          <w:lang w:val="en-US" w:eastAsia="zh-CN"/>
        </w:rPr>
        <w:t>（六）</w:t>
      </w:r>
      <w:r>
        <w:rPr>
          <w:rFonts w:hint="eastAsia" w:ascii="仿宋_GB2312" w:eastAsia="仿宋_GB2312" w:cs="仿宋_GB2312"/>
          <w:b w:val="0"/>
          <w:bCs w:val="0"/>
          <w:color w:val="auto"/>
          <w:sz w:val="32"/>
          <w:szCs w:val="32"/>
          <w:lang w:val="en-US" w:eastAsia="zh-CN"/>
        </w:rPr>
        <w:t>人员配备情况。包括但不限于项目成员学历证明、专业技术职称证书、社保清单。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_GB2312" w:hAnsi="仿宋" w:eastAsia="仿宋_GB2312" w:cs="仿宋_GB2312"/>
          <w:sz w:val="32"/>
          <w:szCs w:val="32"/>
        </w:rPr>
        <w:t>投标文件一式</w:t>
      </w: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份，整套</w:t>
      </w:r>
      <w:r>
        <w:rPr>
          <w:rFonts w:hint="eastAsia" w:ascii="仿宋_GB2312" w:hAnsi="仿宋" w:eastAsia="仿宋_GB2312" w:cs="仿宋_GB2312"/>
          <w:sz w:val="32"/>
          <w:szCs w:val="32"/>
          <w:lang w:eastAsia="zh-CN"/>
        </w:rPr>
        <w:t>纸质</w:t>
      </w:r>
      <w:r>
        <w:rPr>
          <w:rFonts w:hint="eastAsia" w:ascii="仿宋_GB2312" w:hAnsi="仿宋" w:eastAsia="仿宋_GB2312" w:cs="仿宋_GB2312"/>
          <w:sz w:val="32"/>
          <w:szCs w:val="32"/>
        </w:rPr>
        <w:t>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九、重要提示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十、评标方法</w:t>
      </w:r>
    </w:p>
    <w:p>
      <w:pPr>
        <w:pStyle w:val="4"/>
        <w:spacing w:before="0" w:after="0" w:line="560" w:lineRule="exact"/>
        <w:ind w:firstLine="64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（一）评分规则</w:t>
      </w:r>
    </w:p>
    <w:p>
      <w:pPr>
        <w:spacing w:line="560" w:lineRule="exact"/>
        <w:ind w:firstLine="640"/>
        <w:rPr>
          <w:rFonts w:ascii="黑体" w:hAnsi="黑体" w:eastAsia="黑体" w:cs="仿宋_GB2312"/>
          <w:bCs/>
          <w:color w:val="000000"/>
          <w:sz w:val="32"/>
          <w:szCs w:val="32"/>
          <w:lang w:eastAsia="zh-CN"/>
        </w:rPr>
      </w:pPr>
      <w:r>
        <w:rPr>
          <w:rFonts w:hint="eastAsia" w:ascii="仿宋_GB2312" w:hAnsi="仿宋_GB2312" w:eastAsia="仿宋_GB2312"/>
          <w:color w:val="000000"/>
          <w:sz w:val="32"/>
          <w:szCs w:val="32"/>
          <w:lang w:eastAsia="zh-CN"/>
        </w:rPr>
        <w:t>评标采用综合评分法。确定中标供应商按评审后得分由高到低顺序排列。得分相同的，按投标报价由低到高顺序排列。得分且投标报价相同的，按技术或服务方案优劣顺序排列。</w:t>
      </w:r>
    </w:p>
    <w:p>
      <w:pPr>
        <w:pStyle w:val="4"/>
        <w:spacing w:before="0" w:after="0" w:line="560" w:lineRule="exact"/>
        <w:ind w:firstLine="64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（二）评分权重</w:t>
      </w:r>
    </w:p>
    <w:tbl>
      <w:tblPr>
        <w:tblStyle w:val="12"/>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5"/>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评分内容</w:t>
            </w:r>
          </w:p>
        </w:tc>
        <w:tc>
          <w:tcPr>
            <w:tcW w:w="1883" w:type="dxa"/>
          </w:tcPr>
          <w:p>
            <w:pPr>
              <w:pStyle w:val="15"/>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商务能力</w:t>
            </w:r>
          </w:p>
        </w:tc>
        <w:tc>
          <w:tcPr>
            <w:tcW w:w="1681" w:type="dxa"/>
          </w:tcPr>
          <w:p>
            <w:pPr>
              <w:pStyle w:val="15"/>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技术能力</w:t>
            </w:r>
          </w:p>
        </w:tc>
        <w:tc>
          <w:tcPr>
            <w:tcW w:w="1724" w:type="dxa"/>
          </w:tcPr>
          <w:p>
            <w:pPr>
              <w:pStyle w:val="15"/>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人员配备</w:t>
            </w:r>
          </w:p>
        </w:tc>
        <w:tc>
          <w:tcPr>
            <w:tcW w:w="1808" w:type="dxa"/>
          </w:tcPr>
          <w:p>
            <w:pPr>
              <w:pStyle w:val="15"/>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5"/>
              <w:spacing w:line="560" w:lineRule="exact"/>
              <w:ind w:firstLine="0" w:firstLineChars="0"/>
              <w:jc w:val="center"/>
              <w:rPr>
                <w:rFonts w:ascii="仿宋_GB2312" w:hAnsi="仿宋_GB2312" w:cs="仿宋_GB2312"/>
                <w:b w:val="0"/>
                <w:bCs/>
                <w:color w:val="000000"/>
                <w:sz w:val="24"/>
                <w:szCs w:val="24"/>
              </w:rPr>
            </w:pPr>
            <w:r>
              <w:rPr>
                <w:rFonts w:hint="eastAsia" w:ascii="仿宋_GB2312" w:hAnsi="仿宋_GB2312" w:eastAsia="仿宋_GB2312" w:cs="仿宋_GB2312"/>
                <w:b w:val="0"/>
                <w:bCs/>
                <w:color w:val="000000"/>
                <w:sz w:val="24"/>
                <w:szCs w:val="24"/>
              </w:rPr>
              <w:t>分值</w:t>
            </w:r>
          </w:p>
        </w:tc>
        <w:tc>
          <w:tcPr>
            <w:tcW w:w="1883" w:type="dxa"/>
          </w:tcPr>
          <w:p>
            <w:pPr>
              <w:pStyle w:val="15"/>
              <w:spacing w:line="560" w:lineRule="exact"/>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c>
          <w:tcPr>
            <w:tcW w:w="1681" w:type="dxa"/>
          </w:tcPr>
          <w:p>
            <w:pPr>
              <w:pStyle w:val="15"/>
              <w:spacing w:line="560" w:lineRule="exact"/>
              <w:ind w:firstLine="0" w:firstLineChars="0"/>
              <w:jc w:val="center"/>
              <w:rPr>
                <w:rFonts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40</w:t>
            </w:r>
            <w:r>
              <w:rPr>
                <w:rFonts w:hint="eastAsia" w:ascii="仿宋_GB2312" w:hAnsi="仿宋_GB2312" w:eastAsia="仿宋_GB2312" w:cs="仿宋_GB2312"/>
                <w:b w:val="0"/>
                <w:bCs/>
                <w:color w:val="000000"/>
                <w:sz w:val="24"/>
                <w:szCs w:val="24"/>
              </w:rPr>
              <w:t>分</w:t>
            </w:r>
          </w:p>
        </w:tc>
        <w:tc>
          <w:tcPr>
            <w:tcW w:w="1724" w:type="dxa"/>
          </w:tcPr>
          <w:p>
            <w:pPr>
              <w:pStyle w:val="15"/>
              <w:spacing w:line="560" w:lineRule="exact"/>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cs="仿宋_GB2312"/>
                <w:b w:val="0"/>
                <w:bCs/>
                <w:color w:val="000000"/>
                <w:sz w:val="24"/>
                <w:szCs w:val="24"/>
                <w:lang w:val="en-US" w:eastAsia="zh-CN"/>
              </w:rPr>
              <w:t>2</w:t>
            </w:r>
            <w:r>
              <w:rPr>
                <w:rFonts w:hint="eastAsia" w:ascii="仿宋_GB2312" w:hAnsi="仿宋_GB2312" w:eastAsia="仿宋_GB2312" w:cs="仿宋_GB2312"/>
                <w:b w:val="0"/>
                <w:bCs/>
                <w:color w:val="000000"/>
                <w:sz w:val="24"/>
                <w:szCs w:val="24"/>
                <w:lang w:eastAsia="zh-CN"/>
              </w:rPr>
              <w:t>0</w:t>
            </w:r>
            <w:r>
              <w:rPr>
                <w:rFonts w:hint="eastAsia" w:ascii="仿宋_GB2312" w:hAnsi="仿宋_GB2312" w:eastAsia="仿宋_GB2312" w:cs="仿宋_GB2312"/>
                <w:b w:val="0"/>
                <w:bCs/>
                <w:color w:val="000000"/>
                <w:sz w:val="24"/>
                <w:szCs w:val="24"/>
              </w:rPr>
              <w:t>分</w:t>
            </w:r>
          </w:p>
        </w:tc>
        <w:tc>
          <w:tcPr>
            <w:tcW w:w="1808" w:type="dxa"/>
          </w:tcPr>
          <w:p>
            <w:pPr>
              <w:pStyle w:val="15"/>
              <w:spacing w:line="560" w:lineRule="exact"/>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cs="仿宋_GB2312"/>
                <w:b w:val="0"/>
                <w:bCs/>
                <w:color w:val="000000"/>
                <w:sz w:val="24"/>
                <w:szCs w:val="24"/>
                <w:lang w:val="en-US" w:eastAsia="zh-CN"/>
              </w:rPr>
              <w:t>2</w:t>
            </w:r>
            <w:r>
              <w:rPr>
                <w:rFonts w:hint="eastAsia" w:ascii="仿宋_GB2312" w:hAnsi="仿宋_GB2312" w:eastAsia="仿宋_GB2312" w:cs="仿宋_GB2312"/>
                <w:b w:val="0"/>
                <w:bCs/>
                <w:color w:val="000000"/>
                <w:sz w:val="24"/>
                <w:szCs w:val="24"/>
                <w:lang w:eastAsia="zh-CN"/>
              </w:rPr>
              <w:t>0</w:t>
            </w:r>
            <w:r>
              <w:rPr>
                <w:rFonts w:hint="eastAsia" w:ascii="仿宋_GB2312" w:hAnsi="仿宋_GB2312" w:eastAsia="仿宋_GB2312" w:cs="仿宋_GB2312"/>
                <w:b w:val="0"/>
                <w:bCs/>
                <w:color w:val="000000"/>
                <w:sz w:val="24"/>
                <w:szCs w:val="24"/>
              </w:rPr>
              <w:t>分</w:t>
            </w:r>
          </w:p>
        </w:tc>
      </w:tr>
    </w:tbl>
    <w:p>
      <w:pPr>
        <w:pStyle w:val="4"/>
        <w:spacing w:before="0" w:after="0" w:line="560" w:lineRule="exact"/>
        <w:ind w:firstLine="640" w:firstLineChars="20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（三）评分标准</w:t>
      </w:r>
    </w:p>
    <w:p>
      <w:pPr>
        <w:pStyle w:val="7"/>
        <w:autoSpaceDE/>
        <w:autoSpaceDN/>
        <w:spacing w:after="0"/>
        <w:ind w:left="0" w:leftChars="0" w:right="0" w:rightChars="0" w:firstLine="640"/>
        <w:rPr>
          <w:rFonts w:ascii="仿宋_GB2312" w:hAnsi="仿宋_GB2312" w:eastAsia="仿宋_GB2312" w:cs="仿宋_GB2312"/>
          <w:b/>
          <w:bCs/>
          <w:sz w:val="32"/>
          <w:szCs w:val="32"/>
          <w:lang w:eastAsia="zh-CN"/>
        </w:rPr>
      </w:pPr>
      <w:r>
        <w:rPr>
          <w:rFonts w:hint="eastAsia" w:ascii="仿宋_GB2312" w:hAnsi="仿宋_GB2312" w:eastAsia="仿宋_GB2312"/>
          <w:b/>
          <w:bCs/>
          <w:color w:val="000000"/>
          <w:sz w:val="32"/>
          <w:szCs w:val="32"/>
        </w:rPr>
        <w:t>1.商务能力</w:t>
      </w:r>
    </w:p>
    <w:tbl>
      <w:tblPr>
        <w:tblStyle w:val="11"/>
        <w:tblW w:w="873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59"/>
        <w:gridCol w:w="3473"/>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5349" w:type="dxa"/>
            <w:gridSpan w:val="3"/>
            <w:vAlign w:val="center"/>
          </w:tcPr>
          <w:p>
            <w:pPr>
              <w:widowControl/>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项目</w:t>
            </w:r>
          </w:p>
        </w:tc>
        <w:tc>
          <w:tcPr>
            <w:tcW w:w="3387" w:type="dxa"/>
            <w:vAlign w:val="center"/>
          </w:tcPr>
          <w:p>
            <w:pPr>
              <w:widowControl/>
              <w:spacing w:line="560" w:lineRule="exact"/>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blHeader/>
        </w:trPr>
        <w:tc>
          <w:tcPr>
            <w:tcW w:w="517" w:type="dxa"/>
            <w:vMerge w:val="restart"/>
            <w:vAlign w:val="center"/>
          </w:tcPr>
          <w:p>
            <w:pPr>
              <w:spacing w:line="560" w:lineRule="exact"/>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商务能力评分20分</w:t>
            </w:r>
          </w:p>
        </w:tc>
        <w:tc>
          <w:tcPr>
            <w:tcW w:w="1359" w:type="dxa"/>
            <w:vAlign w:val="center"/>
          </w:tcPr>
          <w:p>
            <w:pPr>
              <w:spacing w:line="560" w:lineRule="exact"/>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资质</w:t>
            </w:r>
          </w:p>
          <w:p>
            <w:pPr>
              <w:spacing w:line="560" w:lineRule="exact"/>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eastAsia="zh-CN"/>
              </w:rPr>
              <w:t>5</w:t>
            </w:r>
            <w:r>
              <w:rPr>
                <w:rFonts w:hint="eastAsia" w:ascii="仿宋_GB2312" w:hAnsi="仿宋_GB2312" w:eastAsia="仿宋_GB2312" w:cs="仿宋_GB2312"/>
                <w:bCs/>
                <w:color w:val="000000"/>
                <w:sz w:val="24"/>
                <w:szCs w:val="24"/>
              </w:rPr>
              <w:t>分）</w:t>
            </w:r>
          </w:p>
        </w:tc>
        <w:tc>
          <w:tcPr>
            <w:tcW w:w="3473" w:type="dxa"/>
            <w:vAlign w:val="center"/>
          </w:tcPr>
          <w:p>
            <w:pPr>
              <w:widowControl/>
              <w:spacing w:line="400" w:lineRule="exact"/>
              <w:ind w:firstLine="0" w:firstLineChars="0"/>
              <w:rPr>
                <w:rFonts w:ascii="仿宋_GB2312" w:hAnsi="仿宋_GB2312" w:eastAsia="仿宋_GB2312" w:cs="仿宋_GB2312"/>
                <w:bCs/>
                <w:color w:val="000000"/>
                <w:sz w:val="24"/>
                <w:szCs w:val="24"/>
                <w:lang w:eastAsia="zh-CN"/>
              </w:rPr>
            </w:pPr>
            <w:r>
              <w:rPr>
                <w:rFonts w:ascii="仿宋_GB2312" w:hAnsi="仿宋_GB2312" w:eastAsia="仿宋_GB2312" w:cs="仿宋_GB2312"/>
                <w:color w:val="000000"/>
                <w:sz w:val="24"/>
                <w:szCs w:val="24"/>
                <w:lang w:eastAsia="zh-CN" w:bidi="ar"/>
              </w:rPr>
              <w:t>具有AAA企业信用评价，国家认证认可监督管理委员会批准的认证机构颁发的质量管理体系认证证书、环境管理体系认证证书、职业健康安全管理体系认证证书，每提供一个得1.5分。本项最高得分5分。</w:t>
            </w:r>
          </w:p>
        </w:tc>
        <w:tc>
          <w:tcPr>
            <w:tcW w:w="3387" w:type="dxa"/>
            <w:vAlign w:val="center"/>
          </w:tcPr>
          <w:p>
            <w:pPr>
              <w:widowControl/>
              <w:spacing w:line="400" w:lineRule="exact"/>
              <w:ind w:firstLine="0" w:firstLineChars="0"/>
              <w:rPr>
                <w:rFonts w:ascii="仿宋_GB2312" w:hAnsi="仿宋_GB2312" w:eastAsia="仿宋_GB2312" w:cs="仿宋_GB2312"/>
                <w:color w:val="000000"/>
                <w:sz w:val="24"/>
                <w:szCs w:val="24"/>
                <w:lang w:eastAsia="zh-CN" w:bidi="ar"/>
              </w:rPr>
            </w:pPr>
            <w:r>
              <w:rPr>
                <w:rFonts w:ascii="仿宋_GB2312" w:hAnsi="仿宋_GB2312" w:eastAsia="仿宋_GB2312" w:cs="仿宋_GB2312"/>
                <w:color w:val="000000"/>
                <w:sz w:val="24"/>
                <w:szCs w:val="24"/>
                <w:lang w:eastAsia="zh-CN" w:bidi="ar"/>
              </w:rPr>
              <w:t>提供有效的证书复印件并加盖投标人公章，未提供或不清晰无法判断的不得分。</w:t>
            </w:r>
          </w:p>
          <w:p>
            <w:pPr>
              <w:snapToGrid w:val="0"/>
              <w:spacing w:line="400" w:lineRule="exact"/>
              <w:ind w:firstLine="0" w:firstLineChars="0"/>
              <w:rPr>
                <w:rFonts w:ascii="仿宋_GB2312" w:hAnsi="仿宋_GB2312" w:eastAsia="仿宋_GB2312" w:cs="仿宋_GB2312"/>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blHeader/>
        </w:trPr>
        <w:tc>
          <w:tcPr>
            <w:tcW w:w="517" w:type="dxa"/>
            <w:vMerge w:val="continue"/>
            <w:vAlign w:val="center"/>
          </w:tcPr>
          <w:p>
            <w:pPr>
              <w:spacing w:line="560" w:lineRule="exact"/>
              <w:ind w:firstLine="0" w:firstLineChars="0"/>
              <w:jc w:val="center"/>
              <w:rPr>
                <w:rFonts w:ascii="仿宋_GB2312" w:hAnsi="仿宋_GB2312" w:eastAsia="仿宋_GB2312" w:cs="仿宋_GB2312"/>
                <w:bCs/>
                <w:color w:val="000000"/>
                <w:sz w:val="24"/>
                <w:szCs w:val="24"/>
                <w:lang w:eastAsia="zh-CN"/>
              </w:rPr>
            </w:pPr>
          </w:p>
        </w:tc>
        <w:tc>
          <w:tcPr>
            <w:tcW w:w="1359" w:type="dxa"/>
            <w:vAlign w:val="center"/>
          </w:tcPr>
          <w:p>
            <w:pPr>
              <w:spacing w:line="560" w:lineRule="exact"/>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经验</w:t>
            </w:r>
          </w:p>
          <w:p>
            <w:pPr>
              <w:spacing w:line="560" w:lineRule="exact"/>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eastAsia="zh-CN"/>
              </w:rPr>
              <w:t>10</w:t>
            </w:r>
            <w:r>
              <w:rPr>
                <w:rFonts w:hint="eastAsia" w:ascii="仿宋_GB2312" w:hAnsi="仿宋_GB2312" w:eastAsia="仿宋_GB2312" w:cs="仿宋_GB2312"/>
                <w:bCs/>
                <w:color w:val="000000"/>
                <w:sz w:val="24"/>
                <w:szCs w:val="24"/>
              </w:rPr>
              <w:t>分）</w:t>
            </w:r>
          </w:p>
        </w:tc>
        <w:tc>
          <w:tcPr>
            <w:tcW w:w="3473" w:type="dxa"/>
            <w:vAlign w:val="center"/>
          </w:tcPr>
          <w:p>
            <w:pPr>
              <w:widowControl/>
              <w:spacing w:line="400" w:lineRule="exact"/>
              <w:ind w:firstLine="0" w:firstLineChars="0"/>
              <w:rPr>
                <w:rFonts w:ascii="仿宋_GB2312" w:hAnsi="仿宋_GB2312" w:eastAsia="仿宋_GB2312" w:cs="仿宋_GB2312"/>
                <w:color w:val="000000"/>
                <w:sz w:val="24"/>
                <w:szCs w:val="24"/>
                <w:lang w:eastAsia="zh-CN" w:bidi="ar"/>
              </w:rPr>
            </w:pPr>
            <w:r>
              <w:rPr>
                <w:rFonts w:ascii="仿宋_GB2312" w:hAnsi="仿宋_GB2312" w:eastAsia="仿宋_GB2312" w:cs="仿宋_GB2312"/>
                <w:color w:val="000000"/>
                <w:sz w:val="24"/>
                <w:szCs w:val="24"/>
                <w:lang w:eastAsia="zh-CN" w:bidi="ar"/>
              </w:rPr>
              <w:t>承担过政府部门委托的安全管理服务、咨询、评价</w:t>
            </w:r>
            <w:r>
              <w:rPr>
                <w:rFonts w:hint="eastAsia" w:ascii="仿宋_GB2312" w:hAnsi="仿宋_GB2312" w:eastAsia="仿宋_GB2312" w:cs="仿宋_GB2312"/>
                <w:color w:val="000000"/>
                <w:sz w:val="24"/>
                <w:szCs w:val="24"/>
                <w:lang w:eastAsia="zh-CN" w:bidi="ar"/>
              </w:rPr>
              <w:t>评估</w:t>
            </w:r>
            <w:r>
              <w:rPr>
                <w:rFonts w:ascii="仿宋_GB2312" w:hAnsi="仿宋_GB2312" w:eastAsia="仿宋_GB2312" w:cs="仿宋_GB2312"/>
                <w:color w:val="000000"/>
                <w:sz w:val="24"/>
                <w:szCs w:val="24"/>
                <w:lang w:eastAsia="zh-CN" w:bidi="ar"/>
              </w:rPr>
              <w:t>等项目的，每提供一项以往类似项目得2分、本项最高得分为10分。</w:t>
            </w:r>
          </w:p>
        </w:tc>
        <w:tc>
          <w:tcPr>
            <w:tcW w:w="3387" w:type="dxa"/>
            <w:vAlign w:val="center"/>
          </w:tcPr>
          <w:p>
            <w:pPr>
              <w:widowControl/>
              <w:spacing w:line="400" w:lineRule="exact"/>
              <w:ind w:firstLine="0" w:firstLineChars="0"/>
              <w:rPr>
                <w:rFonts w:ascii="仿宋_GB2312" w:hAnsi="仿宋_GB2312" w:eastAsia="仿宋_GB2312" w:cs="仿宋_GB2312"/>
                <w:color w:val="000000"/>
                <w:sz w:val="24"/>
                <w:szCs w:val="24"/>
                <w:lang w:eastAsia="zh-CN" w:bidi="ar"/>
              </w:rPr>
            </w:pPr>
            <w:r>
              <w:rPr>
                <w:rFonts w:ascii="仿宋_GB2312" w:hAnsi="仿宋_GB2312" w:eastAsia="仿宋_GB2312" w:cs="仿宋_GB2312"/>
                <w:color w:val="000000"/>
                <w:sz w:val="24"/>
                <w:szCs w:val="24"/>
                <w:lang w:eastAsia="zh-CN" w:bidi="ar"/>
              </w:rPr>
              <w:t>提供合同关键页（须清晰体现合同首页、项目内容、合同双方盖章、合同签订时间）复印件加盖投标人公章，未提供或不清晰无法判断的不得分。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blHeader/>
        </w:trPr>
        <w:tc>
          <w:tcPr>
            <w:tcW w:w="517" w:type="dxa"/>
            <w:vMerge w:val="continue"/>
            <w:vAlign w:val="center"/>
          </w:tcPr>
          <w:p>
            <w:pPr>
              <w:spacing w:line="560" w:lineRule="exact"/>
              <w:ind w:firstLine="0" w:firstLineChars="0"/>
              <w:jc w:val="center"/>
              <w:rPr>
                <w:rFonts w:ascii="仿宋_GB2312" w:hAnsi="仿宋_GB2312" w:eastAsia="仿宋_GB2312" w:cs="仿宋_GB2312"/>
                <w:bCs/>
                <w:color w:val="000000"/>
                <w:sz w:val="24"/>
                <w:szCs w:val="24"/>
                <w:lang w:eastAsia="zh-CN"/>
              </w:rPr>
            </w:pPr>
          </w:p>
        </w:tc>
        <w:tc>
          <w:tcPr>
            <w:tcW w:w="1359" w:type="dxa"/>
            <w:vAlign w:val="center"/>
          </w:tcPr>
          <w:p>
            <w:pPr>
              <w:widowControl/>
              <w:ind w:firstLine="0" w:firstLineChars="0"/>
              <w:rPr>
                <w:sz w:val="24"/>
                <w:szCs w:val="24"/>
              </w:rPr>
            </w:pPr>
            <w:r>
              <w:rPr>
                <w:rFonts w:ascii="仿宋_GB2312" w:hAnsi="仿宋_GB2312" w:eastAsia="仿宋_GB2312" w:cs="仿宋_GB2312"/>
                <w:color w:val="000000"/>
                <w:sz w:val="24"/>
                <w:szCs w:val="24"/>
                <w:lang w:eastAsia="zh-CN" w:bidi="ar"/>
              </w:rPr>
              <w:t>获奖情况</w:t>
            </w:r>
          </w:p>
          <w:p>
            <w:pPr>
              <w:spacing w:line="560" w:lineRule="exact"/>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（5分）</w:t>
            </w:r>
          </w:p>
        </w:tc>
        <w:tc>
          <w:tcPr>
            <w:tcW w:w="3473" w:type="dxa"/>
            <w:vAlign w:val="center"/>
          </w:tcPr>
          <w:p>
            <w:pPr>
              <w:widowControl/>
              <w:spacing w:line="400" w:lineRule="exact"/>
              <w:ind w:firstLine="0" w:firstLineChars="0"/>
              <w:rPr>
                <w:rFonts w:eastAsia="仿宋_GB2312"/>
                <w:bCs/>
                <w:color w:val="000000"/>
                <w:sz w:val="24"/>
                <w:szCs w:val="24"/>
              </w:rPr>
            </w:pPr>
            <w:r>
              <w:rPr>
                <w:rFonts w:ascii="仿宋_GB2312" w:hAnsi="仿宋_GB2312" w:eastAsia="仿宋_GB2312" w:cs="仿宋_GB2312"/>
                <w:color w:val="000000"/>
                <w:sz w:val="24"/>
                <w:szCs w:val="24"/>
                <w:lang w:eastAsia="zh-CN" w:bidi="ar"/>
              </w:rPr>
              <w:t>获得</w:t>
            </w:r>
            <w:r>
              <w:rPr>
                <w:rFonts w:hint="eastAsia" w:hAnsi="仿宋_GB2312" w:cs="仿宋_GB2312"/>
                <w:color w:val="000000"/>
                <w:sz w:val="24"/>
                <w:szCs w:val="24"/>
                <w:lang w:eastAsia="zh-CN" w:bidi="ar"/>
              </w:rPr>
              <w:t>省部级或以上</w:t>
            </w:r>
            <w:r>
              <w:rPr>
                <w:rFonts w:ascii="仿宋_GB2312" w:hAnsi="仿宋_GB2312" w:eastAsia="仿宋_GB2312" w:cs="仿宋_GB2312"/>
                <w:color w:val="000000"/>
                <w:sz w:val="24"/>
                <w:szCs w:val="24"/>
                <w:lang w:eastAsia="zh-CN" w:bidi="ar"/>
              </w:rPr>
              <w:t>科技奖。国家级的每提供一个奖项得2分，省部级的每提供一个得1分。本项最高得分5分。</w:t>
            </w:r>
          </w:p>
        </w:tc>
        <w:tc>
          <w:tcPr>
            <w:tcW w:w="3387" w:type="dxa"/>
            <w:vAlign w:val="center"/>
          </w:tcPr>
          <w:p>
            <w:pPr>
              <w:widowControl/>
              <w:spacing w:line="400" w:lineRule="exact"/>
              <w:ind w:firstLine="0" w:firstLineChars="0"/>
              <w:rPr>
                <w:rFonts w:ascii="仿宋_GB2312" w:hAnsi="仿宋_GB2312" w:eastAsia="仿宋_GB2312" w:cs="仿宋_GB2312"/>
                <w:bCs/>
                <w:color w:val="000000"/>
                <w:sz w:val="24"/>
                <w:szCs w:val="24"/>
                <w:lang w:eastAsia="zh-CN"/>
              </w:rPr>
            </w:pPr>
            <w:r>
              <w:rPr>
                <w:rFonts w:ascii="仿宋_GB2312" w:hAnsi="仿宋_GB2312" w:eastAsia="仿宋_GB2312" w:cs="仿宋_GB2312"/>
                <w:color w:val="000000"/>
                <w:sz w:val="24"/>
                <w:szCs w:val="24"/>
                <w:lang w:eastAsia="zh-CN" w:bidi="ar"/>
              </w:rPr>
              <w:t>提供有效证明文件复印件并加盖投标人公章，未提供或不清晰无法判断的不得分。</w:t>
            </w:r>
          </w:p>
        </w:tc>
      </w:tr>
    </w:tbl>
    <w:p>
      <w:pPr>
        <w:spacing w:line="560" w:lineRule="exact"/>
        <w:ind w:firstLine="0" w:firstLineChars="0"/>
        <w:rPr>
          <w:rFonts w:hint="eastAsia" w:ascii="仿宋_GB2312" w:hAnsi="仿宋_GB2312" w:eastAsia="仿宋_GB2312" w:cs="仿宋_GB2312"/>
          <w:b/>
          <w:bCs/>
          <w:color w:val="000000"/>
          <w:sz w:val="30"/>
          <w:szCs w:val="30"/>
          <w:lang w:eastAsia="zh-CN"/>
        </w:rPr>
      </w:pPr>
    </w:p>
    <w:p>
      <w:pPr>
        <w:numPr>
          <w:ilvl w:val="-1"/>
          <w:numId w:val="0"/>
        </w:numPr>
        <w:spacing w:line="560" w:lineRule="exact"/>
        <w:ind w:firstLine="642"/>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技术能力</w:t>
      </w:r>
    </w:p>
    <w:tbl>
      <w:tblPr>
        <w:tblStyle w:val="11"/>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28"/>
        <w:gridCol w:w="2434"/>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4381" w:type="dxa"/>
            <w:gridSpan w:val="3"/>
            <w:vAlign w:val="center"/>
          </w:tcPr>
          <w:p>
            <w:pPr>
              <w:widowControl/>
              <w:spacing w:line="276" w:lineRule="auto"/>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项目</w:t>
            </w:r>
          </w:p>
        </w:tc>
        <w:tc>
          <w:tcPr>
            <w:tcW w:w="4370" w:type="dxa"/>
            <w:vAlign w:val="center"/>
          </w:tcPr>
          <w:p>
            <w:pPr>
              <w:widowControl/>
              <w:spacing w:line="276" w:lineRule="auto"/>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vAlign w:val="center"/>
          </w:tcPr>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技术能力评分</w:t>
            </w:r>
            <w:r>
              <w:rPr>
                <w:rFonts w:hint="eastAsia" w:ascii="仿宋_GB2312" w:hAnsi="仿宋_GB2312" w:eastAsia="仿宋_GB2312" w:cs="仿宋_GB2312"/>
                <w:bCs/>
                <w:color w:val="000000"/>
                <w:sz w:val="24"/>
                <w:szCs w:val="24"/>
                <w:lang w:eastAsia="zh-CN"/>
              </w:rPr>
              <w:t>4</w:t>
            </w:r>
            <w:r>
              <w:rPr>
                <w:rFonts w:hint="eastAsia" w:ascii="仿宋_GB2312" w:hAnsi="仿宋_GB2312" w:eastAsia="仿宋_GB2312" w:cs="仿宋_GB2312"/>
                <w:bCs/>
                <w:color w:val="000000"/>
                <w:sz w:val="24"/>
                <w:szCs w:val="24"/>
              </w:rPr>
              <w:t>0分</w:t>
            </w:r>
          </w:p>
        </w:tc>
        <w:tc>
          <w:tcPr>
            <w:tcW w:w="1428" w:type="dxa"/>
            <w:vAlign w:val="center"/>
          </w:tcPr>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实施</w:t>
            </w:r>
            <w:r>
              <w:rPr>
                <w:rFonts w:hint="eastAsia" w:ascii="仿宋_GB2312" w:hAnsi="仿宋_GB2312" w:eastAsia="仿宋_GB2312" w:cs="仿宋_GB2312"/>
                <w:bCs/>
                <w:color w:val="000000"/>
                <w:sz w:val="24"/>
                <w:szCs w:val="24"/>
              </w:rPr>
              <w:t>方案</w:t>
            </w:r>
          </w:p>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eastAsia="zh-CN"/>
              </w:rPr>
              <w:t>15</w:t>
            </w:r>
            <w:r>
              <w:rPr>
                <w:rFonts w:hint="eastAsia" w:ascii="仿宋_GB2312" w:hAnsi="仿宋_GB2312" w:eastAsia="仿宋_GB2312" w:cs="仿宋_GB2312"/>
                <w:bCs/>
                <w:color w:val="000000"/>
                <w:sz w:val="24"/>
                <w:szCs w:val="24"/>
              </w:rPr>
              <w:t>分）</w:t>
            </w:r>
          </w:p>
        </w:tc>
        <w:tc>
          <w:tcPr>
            <w:tcW w:w="2434" w:type="dxa"/>
            <w:vAlign w:val="center"/>
          </w:tcPr>
          <w:p>
            <w:pPr>
              <w:widowControl/>
              <w:ind w:firstLine="0" w:firstLineChars="0"/>
              <w:rPr>
                <w:rFonts w:ascii="仿宋_GB2312" w:hAnsi="仿宋_GB2312" w:eastAsia="仿宋_GB2312" w:cs="仿宋_GB2312"/>
                <w:color w:val="000000"/>
                <w:sz w:val="24"/>
                <w:szCs w:val="24"/>
                <w:lang w:eastAsia="zh-CN" w:bidi="ar"/>
              </w:rPr>
            </w:pPr>
          </w:p>
          <w:p>
            <w:pPr>
              <w:widowControl/>
              <w:ind w:firstLine="0" w:firstLineChars="0"/>
              <w:rPr>
                <w:rFonts w:ascii="仿宋_GB2312" w:hAnsi="仿宋_GB2312" w:eastAsia="仿宋_GB2312" w:cs="仿宋_GB2312"/>
                <w:color w:val="000000"/>
                <w:sz w:val="24"/>
                <w:szCs w:val="24"/>
                <w:lang w:eastAsia="zh-CN" w:bidi="ar"/>
              </w:rPr>
            </w:pP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实施方案包括项目背景、工作内容、进度安排、预期成果等</w:t>
            </w:r>
            <w:r>
              <w:rPr>
                <w:rFonts w:hint="eastAsia" w:ascii="仿宋_GB2312" w:hAnsi="仿宋_GB2312" w:eastAsia="仿宋_GB2312" w:cs="仿宋_GB2312"/>
                <w:color w:val="000000"/>
                <w:sz w:val="24"/>
                <w:szCs w:val="24"/>
                <w:lang w:eastAsia="zh-CN" w:bidi="ar"/>
              </w:rPr>
              <w:t>内容。</w:t>
            </w:r>
          </w:p>
          <w:p>
            <w:pPr>
              <w:widowControl/>
              <w:ind w:firstLine="480"/>
              <w:rPr>
                <w:sz w:val="24"/>
                <w:szCs w:val="24"/>
                <w:lang w:eastAsia="zh-CN"/>
              </w:rPr>
            </w:pPr>
          </w:p>
          <w:p>
            <w:pPr>
              <w:snapToGrid w:val="0"/>
              <w:spacing w:line="312" w:lineRule="auto"/>
              <w:ind w:firstLine="0" w:firstLineChars="0"/>
              <w:rPr>
                <w:rFonts w:ascii="仿宋_GB2312" w:hAnsi="仿宋_GB2312" w:eastAsia="仿宋_GB2312" w:cs="仿宋_GB2312"/>
                <w:bCs/>
                <w:color w:val="000000"/>
                <w:sz w:val="24"/>
                <w:szCs w:val="24"/>
                <w:lang w:eastAsia="zh-CN"/>
              </w:rPr>
            </w:pPr>
          </w:p>
        </w:tc>
        <w:tc>
          <w:tcPr>
            <w:tcW w:w="4370"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优：方案周全完整，表述清晰，有具体贴合项目实施计划的时间安排方式和良好保障措施，可操作性强；得15分。</w:t>
            </w:r>
          </w:p>
          <w:p>
            <w:pPr>
              <w:widowControl/>
              <w:ind w:firstLine="0" w:firstLineChars="0"/>
              <w:rPr>
                <w:rFonts w:ascii="仿宋_GB2312" w:hAnsi="仿宋_GB2312" w:eastAsia="仿宋_GB2312" w:cs="仿宋_GB2312"/>
                <w:color w:val="000000"/>
                <w:sz w:val="24"/>
                <w:szCs w:val="24"/>
                <w:lang w:eastAsia="zh-CN" w:bidi="ar"/>
              </w:rPr>
            </w:pPr>
            <w:r>
              <w:rPr>
                <w:rFonts w:ascii="仿宋_GB2312" w:hAnsi="仿宋_GB2312" w:eastAsia="仿宋_GB2312" w:cs="仿宋_GB2312"/>
                <w:color w:val="000000"/>
                <w:sz w:val="24"/>
                <w:szCs w:val="24"/>
                <w:lang w:eastAsia="zh-CN" w:bidi="ar"/>
              </w:rPr>
              <w:t>良：方案完整，有具体时间安排方式和保障措施，可操作性较好；得12分。</w:t>
            </w:r>
          </w:p>
          <w:p>
            <w:pPr>
              <w:widowControl/>
              <w:ind w:firstLine="0" w:firstLineChars="0"/>
              <w:rPr>
                <w:rFonts w:ascii="仿宋_GB2312" w:hAnsi="仿宋_GB2312" w:eastAsia="仿宋_GB2312" w:cs="仿宋_GB2312"/>
                <w:color w:val="000000"/>
                <w:sz w:val="24"/>
                <w:szCs w:val="24"/>
                <w:lang w:eastAsia="zh-CN" w:bidi="ar"/>
              </w:rPr>
            </w:pPr>
            <w:r>
              <w:rPr>
                <w:rFonts w:ascii="仿宋_GB2312" w:hAnsi="仿宋_GB2312" w:eastAsia="仿宋_GB2312" w:cs="仿宋_GB2312"/>
                <w:color w:val="000000"/>
                <w:sz w:val="24"/>
                <w:szCs w:val="24"/>
                <w:lang w:eastAsia="zh-CN" w:bidi="ar"/>
              </w:rPr>
              <w:t>中：方案较基本，有时间安排方式和保障措施，可操作性一般；得9分。</w:t>
            </w:r>
          </w:p>
          <w:p>
            <w:pPr>
              <w:widowControl/>
              <w:ind w:firstLine="0" w:firstLineChars="0"/>
              <w:rPr>
                <w:rFonts w:ascii="仿宋_GB2312" w:hAnsi="仿宋_GB2312" w:eastAsia="仿宋_GB2312" w:cs="仿宋_GB2312"/>
                <w:bCs/>
                <w:color w:val="000000"/>
                <w:sz w:val="24"/>
                <w:szCs w:val="24"/>
                <w:lang w:eastAsia="zh-CN"/>
              </w:rPr>
            </w:pPr>
            <w:r>
              <w:rPr>
                <w:rFonts w:ascii="仿宋_GB2312" w:hAnsi="仿宋_GB2312" w:eastAsia="仿宋_GB2312" w:cs="仿宋_GB2312"/>
                <w:color w:val="000000"/>
                <w:sz w:val="24"/>
                <w:szCs w:val="24"/>
                <w:lang w:eastAsia="zh-CN" w:bidi="ar"/>
              </w:rPr>
              <w:t>差：方案无时间安排方式和保障措施，不具备可操作性；不得分</w:t>
            </w:r>
            <w:r>
              <w:rPr>
                <w:rFonts w:hint="eastAsia" w:ascii="仿宋_GB2312" w:hAnsi="仿宋_GB2312" w:eastAsia="仿宋_GB2312" w:cs="仿宋_GB2312"/>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p>
        </w:tc>
        <w:tc>
          <w:tcPr>
            <w:tcW w:w="1428" w:type="dxa"/>
            <w:vAlign w:val="center"/>
          </w:tcPr>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重难点分析</w:t>
            </w:r>
          </w:p>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eastAsia="zh-CN"/>
              </w:rPr>
              <w:t>0</w:t>
            </w:r>
            <w:r>
              <w:rPr>
                <w:rFonts w:hint="eastAsia" w:ascii="仿宋_GB2312" w:hAnsi="仿宋_GB2312" w:eastAsia="仿宋_GB2312" w:cs="仿宋_GB2312"/>
                <w:bCs/>
                <w:color w:val="000000"/>
                <w:sz w:val="24"/>
                <w:szCs w:val="24"/>
              </w:rPr>
              <w:t>分）</w:t>
            </w:r>
          </w:p>
        </w:tc>
        <w:tc>
          <w:tcPr>
            <w:tcW w:w="2434" w:type="dxa"/>
            <w:vAlign w:val="center"/>
          </w:tcPr>
          <w:p>
            <w:pPr>
              <w:widowControl/>
              <w:ind w:firstLine="480"/>
              <w:rPr>
                <w:sz w:val="24"/>
                <w:szCs w:val="24"/>
                <w:lang w:eastAsia="zh-CN"/>
              </w:rPr>
            </w:pPr>
            <w:r>
              <w:rPr>
                <w:rFonts w:ascii="仿宋_GB2312" w:hAnsi="仿宋_GB2312" w:eastAsia="仿宋_GB2312" w:cs="仿宋_GB2312"/>
                <w:color w:val="000000"/>
                <w:sz w:val="24"/>
                <w:szCs w:val="24"/>
                <w:lang w:eastAsia="zh-CN" w:bidi="ar"/>
              </w:rPr>
              <w:t>对项目的重点、难点及其解决的应对措施具有针对性、合理性方案。</w:t>
            </w:r>
          </w:p>
          <w:p>
            <w:pPr>
              <w:snapToGrid w:val="0"/>
              <w:spacing w:line="312" w:lineRule="auto"/>
              <w:ind w:firstLine="0" w:firstLineChars="0"/>
              <w:rPr>
                <w:rFonts w:ascii="仿宋_GB2312" w:hAnsi="仿宋_GB2312" w:eastAsia="仿宋_GB2312" w:cs="仿宋_GB2312"/>
                <w:bCs/>
                <w:color w:val="000000"/>
                <w:sz w:val="24"/>
                <w:szCs w:val="24"/>
                <w:lang w:eastAsia="zh-CN"/>
              </w:rPr>
            </w:pPr>
          </w:p>
        </w:tc>
        <w:tc>
          <w:tcPr>
            <w:tcW w:w="4370"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优：对项目重点难点分析透彻、应对措施针对性强；得10分。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良：对项目重点难点分析基本清楚、应对措施针对性较好；得8分。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 xml:space="preserve">中：对项目重点难点分析一般、应对措施针对性一般；得6分。 </w:t>
            </w:r>
          </w:p>
          <w:p>
            <w:pPr>
              <w:widowControl/>
              <w:ind w:firstLine="0" w:firstLineChars="0"/>
              <w:rPr>
                <w:rFonts w:ascii="仿宋_GB2312" w:hAnsi="仿宋_GB2312" w:eastAsia="仿宋_GB2312" w:cs="仿宋_GB2312"/>
                <w:bCs/>
                <w:color w:val="000000"/>
                <w:sz w:val="24"/>
                <w:szCs w:val="24"/>
                <w:lang w:eastAsia="zh-CN"/>
              </w:rPr>
            </w:pPr>
            <w:r>
              <w:rPr>
                <w:rFonts w:ascii="仿宋_GB2312" w:hAnsi="仿宋_GB2312" w:eastAsia="仿宋_GB2312" w:cs="仿宋_GB2312"/>
                <w:color w:val="000000"/>
                <w:sz w:val="24"/>
                <w:szCs w:val="24"/>
                <w:lang w:eastAsia="zh-CN" w:bidi="ar"/>
              </w:rPr>
              <w:t>差：对项目重点难点分析不全面、应对措施差；不得分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p>
        </w:tc>
        <w:tc>
          <w:tcPr>
            <w:tcW w:w="1428" w:type="dxa"/>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质量保障措施及方案（10分）</w:t>
            </w:r>
          </w:p>
        </w:tc>
        <w:tc>
          <w:tcPr>
            <w:tcW w:w="2434"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对项目的质量保障措施具有针对性、合理性方案。</w:t>
            </w:r>
          </w:p>
          <w:p>
            <w:pPr>
              <w:snapToGrid w:val="0"/>
              <w:spacing w:line="312" w:lineRule="auto"/>
              <w:ind w:firstLine="0" w:firstLineChars="0"/>
              <w:rPr>
                <w:rFonts w:ascii="仿宋_GB2312" w:hAnsi="仿宋_GB2312" w:eastAsia="仿宋_GB2312" w:cs="仿宋_GB2312"/>
                <w:bCs/>
                <w:color w:val="000000"/>
                <w:sz w:val="24"/>
                <w:szCs w:val="24"/>
                <w:lang w:eastAsia="zh-CN"/>
              </w:rPr>
            </w:pPr>
          </w:p>
        </w:tc>
        <w:tc>
          <w:tcPr>
            <w:tcW w:w="4370"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优：提供方案合理、可行的评价为优；得10分。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良：提供方案较合理、可行的评价为良；得8分。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中：提供方案基本合理、可行的评价为中；得6分。</w:t>
            </w:r>
          </w:p>
          <w:p>
            <w:pPr>
              <w:widowControl/>
              <w:ind w:firstLine="0" w:firstLineChars="0"/>
              <w:rPr>
                <w:rFonts w:ascii="仿宋_GB2312" w:hAnsi="仿宋_GB2312" w:eastAsia="仿宋_GB2312" w:cs="仿宋_GB2312"/>
                <w:bCs/>
                <w:color w:val="000000"/>
                <w:sz w:val="24"/>
                <w:szCs w:val="24"/>
                <w:lang w:eastAsia="zh-CN"/>
              </w:rPr>
            </w:pPr>
            <w:r>
              <w:rPr>
                <w:rFonts w:ascii="仿宋_GB2312" w:hAnsi="仿宋_GB2312" w:eastAsia="仿宋_GB2312" w:cs="仿宋_GB2312"/>
                <w:color w:val="000000"/>
                <w:sz w:val="24"/>
                <w:szCs w:val="24"/>
                <w:lang w:eastAsia="zh-CN" w:bidi="ar"/>
              </w:rPr>
              <w:t>差：无法提供方案的评价为差；不得分。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p>
        </w:tc>
        <w:tc>
          <w:tcPr>
            <w:tcW w:w="1428" w:type="dxa"/>
            <w:vAlign w:val="center"/>
          </w:tcPr>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w:t>
            </w:r>
          </w:p>
          <w:p>
            <w:pPr>
              <w:spacing w:line="276" w:lineRule="auto"/>
              <w:ind w:firstLine="0" w:firstLineChars="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（5分）</w:t>
            </w:r>
          </w:p>
        </w:tc>
        <w:tc>
          <w:tcPr>
            <w:tcW w:w="2434"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提供项目完成（服务期满）后的服务承诺</w:t>
            </w:r>
          </w:p>
          <w:p>
            <w:pPr>
              <w:snapToGrid w:val="0"/>
              <w:spacing w:line="312" w:lineRule="auto"/>
              <w:ind w:firstLine="0" w:firstLineChars="0"/>
              <w:rPr>
                <w:rFonts w:ascii="仿宋_GB2312" w:hAnsi="仿宋_GB2312" w:eastAsia="仿宋_GB2312" w:cs="仿宋_GB2312"/>
                <w:bCs/>
                <w:color w:val="000000"/>
                <w:sz w:val="24"/>
                <w:szCs w:val="24"/>
                <w:lang w:eastAsia="zh-CN"/>
              </w:rPr>
            </w:pPr>
          </w:p>
        </w:tc>
        <w:tc>
          <w:tcPr>
            <w:tcW w:w="4370"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优：服务承诺现实性、明确性、利益、承诺性好；得5分。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良：服务承诺现实性、明确性、利益性、承诺性较好；得4分。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中：服务承诺现实性、明确性、利益性、承诺性一般；得3分。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差：服务承诺现实性、明确性、利益性、承诺性差，或未提供服务承诺；不得分。</w:t>
            </w:r>
          </w:p>
          <w:p>
            <w:pPr>
              <w:snapToGrid w:val="0"/>
              <w:spacing w:line="312" w:lineRule="auto"/>
              <w:ind w:firstLine="0" w:firstLineChars="0"/>
              <w:rPr>
                <w:rFonts w:ascii="仿宋_GB2312" w:hAnsi="仿宋_GB2312" w:eastAsia="仿宋_GB2312" w:cs="仿宋_GB2312"/>
                <w:bCs/>
                <w:color w:val="000000"/>
                <w:sz w:val="24"/>
                <w:szCs w:val="24"/>
                <w:lang w:eastAsia="zh-CN"/>
              </w:rPr>
            </w:pPr>
          </w:p>
        </w:tc>
      </w:tr>
    </w:tbl>
    <w:p>
      <w:pPr>
        <w:spacing w:line="560" w:lineRule="exact"/>
        <w:ind w:firstLine="0" w:firstLineChars="0"/>
        <w:rPr>
          <w:rFonts w:hint="eastAsia" w:ascii="仿宋_GB2312" w:hAnsi="仿宋_GB2312" w:eastAsia="仿宋_GB2312"/>
          <w:b/>
          <w:bCs/>
          <w:color w:val="000000"/>
          <w:sz w:val="32"/>
          <w:szCs w:val="32"/>
          <w:lang w:eastAsia="zh-CN"/>
        </w:rPr>
      </w:pPr>
    </w:p>
    <w:p>
      <w:pPr>
        <w:spacing w:line="560" w:lineRule="exact"/>
        <w:ind w:firstLine="640"/>
        <w:rPr>
          <w:rFonts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3.人员配备</w:t>
      </w:r>
    </w:p>
    <w:p>
      <w:pPr>
        <w:autoSpaceDE/>
        <w:autoSpaceDN/>
        <w:spacing w:line="560" w:lineRule="exact"/>
        <w:ind w:firstLine="620"/>
        <w:rPr>
          <w:rFonts w:ascii="Times New Roman" w:hAnsi="Times New Roman" w:eastAsia="宋体" w:cs="Times New Roman"/>
          <w:color w:val="auto"/>
          <w:sz w:val="24"/>
          <w:szCs w:val="22"/>
          <w:lang w:eastAsia="zh-CN" w:bidi="ar"/>
        </w:rPr>
      </w:pPr>
      <w:r>
        <w:rPr>
          <w:rFonts w:ascii="仿宋_GB2312" w:hAnsi="仿宋_GB2312" w:eastAsia="仿宋_GB2312" w:cs="仿宋_GB2312"/>
          <w:color w:val="000000"/>
          <w:sz w:val="32"/>
          <w:szCs w:val="32"/>
          <w:lang w:eastAsia="zh-CN" w:bidi="ar"/>
        </w:rPr>
        <w:t>结合项目实际情况，供应商需组建不少于4名专业人员组成的项目团队，保障项目顺利实施。定标小组根据项目要求对项目负责人和项目团队人员配备进行综合评价，满分20分。</w:t>
      </w:r>
    </w:p>
    <w:tbl>
      <w:tblPr>
        <w:tblStyle w:val="11"/>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28"/>
        <w:gridCol w:w="3801"/>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5748" w:type="dxa"/>
            <w:gridSpan w:val="3"/>
            <w:vAlign w:val="center"/>
          </w:tcPr>
          <w:p>
            <w:pPr>
              <w:widowControl/>
              <w:spacing w:line="276" w:lineRule="auto"/>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项目</w:t>
            </w:r>
          </w:p>
        </w:tc>
        <w:tc>
          <w:tcPr>
            <w:tcW w:w="3003" w:type="dxa"/>
            <w:vAlign w:val="center"/>
          </w:tcPr>
          <w:p>
            <w:pPr>
              <w:widowControl/>
              <w:spacing w:line="276" w:lineRule="auto"/>
              <w:ind w:firstLine="0" w:firstLineChars="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vAlign w:val="center"/>
          </w:tcPr>
          <w:p>
            <w:pPr>
              <w:spacing w:line="276" w:lineRule="auto"/>
              <w:ind w:firstLine="0" w:firstLineChars="0"/>
              <w:jc w:val="both"/>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人员配备</w:t>
            </w:r>
            <w:r>
              <w:rPr>
                <w:rFonts w:hint="eastAsia" w:ascii="仿宋_GB2312" w:hAnsi="仿宋_GB2312" w:eastAsia="仿宋_GB2312" w:cs="仿宋_GB2312"/>
                <w:bCs/>
                <w:color w:val="000000"/>
                <w:sz w:val="24"/>
                <w:szCs w:val="24"/>
              </w:rPr>
              <w:t>评分</w:t>
            </w:r>
            <w:r>
              <w:rPr>
                <w:rFonts w:hint="eastAsia" w:ascii="仿宋_GB2312" w:hAnsi="仿宋_GB2312" w:eastAsia="仿宋_GB2312" w:cs="仿宋_GB2312"/>
                <w:bCs/>
                <w:color w:val="000000"/>
                <w:sz w:val="24"/>
                <w:szCs w:val="24"/>
                <w:lang w:eastAsia="zh-CN"/>
              </w:rPr>
              <w:t>2</w:t>
            </w:r>
            <w:r>
              <w:rPr>
                <w:rFonts w:hint="eastAsia" w:ascii="仿宋_GB2312" w:hAnsi="仿宋_GB2312" w:eastAsia="仿宋_GB2312" w:cs="仿宋_GB2312"/>
                <w:bCs/>
                <w:color w:val="000000"/>
                <w:sz w:val="24"/>
                <w:szCs w:val="24"/>
              </w:rPr>
              <w:t>0分</w:t>
            </w:r>
          </w:p>
        </w:tc>
        <w:tc>
          <w:tcPr>
            <w:tcW w:w="1428" w:type="dxa"/>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项目负责人（仅限1人）（本项目最高得分8分）</w:t>
            </w:r>
          </w:p>
        </w:tc>
        <w:tc>
          <w:tcPr>
            <w:tcW w:w="3801" w:type="dxa"/>
            <w:vAlign w:val="center"/>
          </w:tcPr>
          <w:p>
            <w:pPr>
              <w:widowControl/>
              <w:ind w:firstLine="0" w:firstLineChars="0"/>
              <w:rPr>
                <w:rFonts w:ascii="仿宋_GB2312" w:hAnsi="仿宋_GB2312" w:eastAsia="仿宋_GB2312" w:cs="仿宋_GB2312"/>
                <w:color w:val="000000"/>
                <w:sz w:val="24"/>
                <w:szCs w:val="24"/>
                <w:lang w:eastAsia="zh-CN" w:bidi="ar"/>
              </w:rPr>
            </w:pP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项目负责人满足下述各小项要求且能提供有效证明文件的，得相应分；未能提供有效证明文件的，该小项得0分：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a.具有高级技术职称的，得2分。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b.具有</w:t>
            </w:r>
            <w:r>
              <w:rPr>
                <w:rFonts w:hint="eastAsia" w:ascii="仿宋_GB2312" w:hAnsi="仿宋_GB2312" w:eastAsia="仿宋_GB2312" w:cs="仿宋_GB2312"/>
                <w:color w:val="000000"/>
                <w:sz w:val="24"/>
                <w:szCs w:val="24"/>
                <w:lang w:eastAsia="zh-CN" w:bidi="ar"/>
              </w:rPr>
              <w:t>硕士</w:t>
            </w:r>
            <w:r>
              <w:rPr>
                <w:rFonts w:ascii="仿宋_GB2312" w:hAnsi="仿宋_GB2312" w:eastAsia="仿宋_GB2312" w:cs="仿宋_GB2312"/>
                <w:color w:val="000000"/>
                <w:sz w:val="24"/>
                <w:szCs w:val="24"/>
                <w:lang w:eastAsia="zh-CN" w:bidi="ar"/>
              </w:rPr>
              <w:t>及以上学历的，得2分。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c.具有</w:t>
            </w:r>
            <w:r>
              <w:rPr>
                <w:rFonts w:hint="eastAsia" w:ascii="仿宋_GB2312" w:hAnsi="仿宋_GB2312" w:eastAsia="仿宋_GB2312" w:cs="仿宋_GB2312"/>
                <w:color w:val="000000"/>
                <w:sz w:val="24"/>
                <w:szCs w:val="24"/>
                <w:lang w:eastAsia="zh-CN" w:bidi="ar"/>
              </w:rPr>
              <w:t>一级</w:t>
            </w:r>
            <w:r>
              <w:rPr>
                <w:rFonts w:ascii="仿宋_GB2312" w:hAnsi="仿宋_GB2312" w:eastAsia="仿宋_GB2312" w:cs="仿宋_GB2312"/>
                <w:color w:val="000000"/>
                <w:sz w:val="24"/>
                <w:szCs w:val="24"/>
                <w:lang w:eastAsia="zh-CN" w:bidi="ar"/>
              </w:rPr>
              <w:t xml:space="preserve">安全评价师资格证书的，得2分。 </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d.具有注册安全工程师资格证书，得2分</w:t>
            </w:r>
          </w:p>
          <w:p>
            <w:pPr>
              <w:snapToGrid w:val="0"/>
              <w:spacing w:line="312" w:lineRule="auto"/>
              <w:ind w:firstLine="0" w:firstLineChars="0"/>
              <w:rPr>
                <w:rFonts w:ascii="仿宋_GB2312" w:hAnsi="仿宋_GB2312" w:eastAsia="仿宋_GB2312" w:cs="仿宋_GB2312"/>
                <w:bCs/>
                <w:color w:val="000000"/>
                <w:sz w:val="24"/>
                <w:szCs w:val="24"/>
                <w:lang w:eastAsia="zh-CN"/>
              </w:rPr>
            </w:pPr>
          </w:p>
        </w:tc>
        <w:tc>
          <w:tcPr>
            <w:tcW w:w="3003" w:type="dxa"/>
            <w:vMerge w:val="restart"/>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提供以下证明材料以供评审：</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 xml:space="preserve">①本项目拟派项目负责人和项目团队人员为投标人自有员工，需学历证书或毕业证书、专业技术职称证书等证明文件。 </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②社保部门出具的近三月（以当地社保局能提供的近三月社保查询证明为准）投标人为上述人员缴纳的社保清单（加盖社保部门公章），否则视为无效证明文件。</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注：以上所有复印件均须加盖投标人公章，未提供有效证明材料的不得分。</w:t>
            </w:r>
          </w:p>
          <w:p>
            <w:pPr>
              <w:widowControl/>
              <w:ind w:firstLine="0" w:firstLineChars="0"/>
              <w:rPr>
                <w:rFonts w:ascii="仿宋_GB2312" w:hAnsi="仿宋_GB2312" w:eastAsia="仿宋_GB2312" w:cs="仿宋_GB2312"/>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p>
        </w:tc>
        <w:tc>
          <w:tcPr>
            <w:tcW w:w="1428" w:type="dxa"/>
            <w:vAlign w:val="center"/>
          </w:tcPr>
          <w:p>
            <w:pPr>
              <w:spacing w:line="276" w:lineRule="auto"/>
              <w:ind w:firstLine="0" w:firstLineChars="0"/>
              <w:jc w:val="center"/>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项目团队人员（不含项目负责人）（本项最高得12分）</w:t>
            </w:r>
          </w:p>
        </w:tc>
        <w:tc>
          <w:tcPr>
            <w:tcW w:w="3801" w:type="dxa"/>
            <w:vAlign w:val="center"/>
          </w:tcPr>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项目团队人员（不含项目负责人）满足下 述各小项要求且能提供有效证明文件的，得相应分：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a.每安排一名具有</w:t>
            </w:r>
            <w:r>
              <w:rPr>
                <w:rFonts w:hint="eastAsia" w:hAnsi="仿宋_GB2312" w:cs="仿宋_GB2312"/>
                <w:color w:val="000000"/>
                <w:sz w:val="24"/>
                <w:szCs w:val="24"/>
                <w:lang w:eastAsia="zh-CN" w:bidi="ar"/>
              </w:rPr>
              <w:t>研究生</w:t>
            </w:r>
            <w:r>
              <w:rPr>
                <w:rFonts w:ascii="仿宋_GB2312" w:hAnsi="仿宋_GB2312" w:eastAsia="仿宋_GB2312" w:cs="仿宋_GB2312"/>
                <w:color w:val="000000"/>
                <w:sz w:val="24"/>
                <w:szCs w:val="24"/>
                <w:lang w:eastAsia="zh-CN" w:bidi="ar"/>
              </w:rPr>
              <w:t>及以上学历</w:t>
            </w:r>
            <w:r>
              <w:rPr>
                <w:rFonts w:hint="eastAsia" w:ascii="仿宋_GB2312" w:hAnsi="仿宋_GB2312" w:eastAsia="仿宋_GB2312" w:cs="仿宋_GB2312"/>
                <w:color w:val="000000"/>
                <w:sz w:val="24"/>
                <w:szCs w:val="24"/>
                <w:lang w:eastAsia="zh-CN" w:bidi="ar"/>
              </w:rPr>
              <w:t>的</w:t>
            </w:r>
            <w:r>
              <w:rPr>
                <w:rFonts w:ascii="仿宋_GB2312" w:hAnsi="仿宋_GB2312" w:eastAsia="仿宋_GB2312" w:cs="仿宋_GB2312"/>
                <w:color w:val="000000"/>
                <w:sz w:val="24"/>
                <w:szCs w:val="24"/>
                <w:lang w:eastAsia="zh-CN" w:bidi="ar"/>
              </w:rPr>
              <w:t>，得3分。本小项最高得6分。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b. 每安排一名具有</w:t>
            </w:r>
            <w:r>
              <w:rPr>
                <w:rFonts w:hint="eastAsia" w:ascii="仿宋_GB2312" w:hAnsi="仿宋_GB2312" w:eastAsia="仿宋_GB2312" w:cs="仿宋_GB2312"/>
                <w:color w:val="000000"/>
                <w:sz w:val="24"/>
                <w:szCs w:val="24"/>
                <w:lang w:eastAsia="zh-CN" w:bidi="ar"/>
              </w:rPr>
              <w:t>本科</w:t>
            </w:r>
            <w:r>
              <w:rPr>
                <w:rFonts w:ascii="仿宋_GB2312" w:hAnsi="仿宋_GB2312" w:eastAsia="仿宋_GB2312" w:cs="仿宋_GB2312"/>
                <w:color w:val="000000"/>
                <w:sz w:val="24"/>
                <w:szCs w:val="24"/>
                <w:lang w:eastAsia="zh-CN" w:bidi="ar"/>
              </w:rPr>
              <w:t>及以上学历的具有</w:t>
            </w:r>
            <w:r>
              <w:rPr>
                <w:rFonts w:hint="eastAsia" w:hAnsi="仿宋_GB2312" w:cs="仿宋_GB2312"/>
                <w:color w:val="000000"/>
                <w:sz w:val="24"/>
                <w:szCs w:val="24"/>
                <w:lang w:eastAsia="zh-CN" w:bidi="ar"/>
              </w:rPr>
              <w:t>高级技术职称</w:t>
            </w:r>
            <w:r>
              <w:rPr>
                <w:rFonts w:hint="eastAsia" w:ascii="仿宋_GB2312" w:hAnsi="仿宋_GB2312" w:eastAsia="仿宋_GB2312" w:cs="仿宋_GB2312"/>
                <w:color w:val="000000"/>
                <w:sz w:val="24"/>
                <w:szCs w:val="24"/>
                <w:lang w:eastAsia="zh-CN" w:bidi="ar"/>
              </w:rPr>
              <w:t>的</w:t>
            </w:r>
            <w:r>
              <w:rPr>
                <w:rFonts w:ascii="仿宋_GB2312" w:hAnsi="仿宋_GB2312" w:eastAsia="仿宋_GB2312" w:cs="仿宋_GB2312"/>
                <w:color w:val="000000"/>
                <w:sz w:val="24"/>
                <w:szCs w:val="24"/>
                <w:lang w:eastAsia="zh-CN" w:bidi="ar"/>
              </w:rPr>
              <w:t>，得3分。本小项最高得6分。</w:t>
            </w:r>
          </w:p>
          <w:p>
            <w:pPr>
              <w:widowControl/>
              <w:ind w:firstLine="0" w:firstLineChars="0"/>
              <w:rPr>
                <w:sz w:val="24"/>
                <w:szCs w:val="24"/>
                <w:lang w:eastAsia="zh-CN"/>
              </w:rPr>
            </w:pPr>
            <w:r>
              <w:rPr>
                <w:rFonts w:ascii="仿宋_GB2312" w:hAnsi="仿宋_GB2312" w:eastAsia="仿宋_GB2312" w:cs="仿宋_GB2312"/>
                <w:color w:val="000000"/>
                <w:sz w:val="24"/>
                <w:szCs w:val="24"/>
                <w:lang w:eastAsia="zh-CN" w:bidi="ar"/>
              </w:rPr>
              <w:t>同一人不重复计分</w:t>
            </w:r>
            <w:r>
              <w:rPr>
                <w:rFonts w:hint="eastAsia" w:ascii="仿宋_GB2312" w:hAnsi="仿宋_GB2312" w:eastAsia="仿宋_GB2312" w:cs="仿宋_GB2312"/>
                <w:color w:val="000000"/>
                <w:sz w:val="24"/>
                <w:szCs w:val="24"/>
                <w:lang w:eastAsia="zh-CN" w:bidi="ar"/>
              </w:rPr>
              <w:t>。</w:t>
            </w:r>
          </w:p>
          <w:p>
            <w:pPr>
              <w:snapToGrid w:val="0"/>
              <w:spacing w:line="312" w:lineRule="auto"/>
              <w:ind w:firstLine="0" w:firstLineChars="0"/>
              <w:rPr>
                <w:rFonts w:ascii="仿宋_GB2312" w:hAnsi="仿宋_GB2312" w:eastAsia="仿宋_GB2312" w:cs="仿宋_GB2312"/>
                <w:bCs/>
                <w:color w:val="000000"/>
                <w:sz w:val="24"/>
                <w:szCs w:val="24"/>
                <w:lang w:eastAsia="zh-CN"/>
              </w:rPr>
            </w:pPr>
          </w:p>
        </w:tc>
        <w:tc>
          <w:tcPr>
            <w:tcW w:w="3003" w:type="dxa"/>
            <w:vMerge w:val="continue"/>
            <w:vAlign w:val="center"/>
          </w:tcPr>
          <w:p>
            <w:pPr>
              <w:widowControl/>
              <w:ind w:firstLine="0" w:firstLineChars="0"/>
              <w:rPr>
                <w:rFonts w:ascii="仿宋_GB2312" w:hAnsi="仿宋_GB2312" w:eastAsia="仿宋_GB2312" w:cs="仿宋_GB2312"/>
                <w:bCs/>
                <w:color w:val="000000"/>
                <w:sz w:val="24"/>
                <w:szCs w:val="24"/>
                <w:lang w:eastAsia="zh-CN"/>
              </w:rPr>
            </w:pPr>
          </w:p>
        </w:tc>
      </w:tr>
    </w:tbl>
    <w:p>
      <w:pPr>
        <w:pStyle w:val="2"/>
        <w:ind w:firstLine="480"/>
        <w:rPr>
          <w:sz w:val="32"/>
          <w:szCs w:val="32"/>
          <w:lang w:eastAsia="zh-CN"/>
        </w:rPr>
      </w:pPr>
    </w:p>
    <w:p>
      <w:pPr>
        <w:spacing w:line="560" w:lineRule="exact"/>
        <w:ind w:firstLine="640"/>
        <w:rPr>
          <w:rFonts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4.报价</w:t>
      </w:r>
    </w:p>
    <w:p>
      <w:pPr>
        <w:spacing w:line="560" w:lineRule="exact"/>
        <w:ind w:firstLine="640"/>
        <w:rPr>
          <w:rFonts w:ascii="仿宋_GB2312" w:hAnsi="仿宋_GB2312" w:eastAsia="仿宋_GB2312" w:cs="仿宋_GB2312"/>
          <w:kern w:val="2"/>
          <w:sz w:val="32"/>
          <w:szCs w:val="32"/>
          <w:lang w:eastAsia="zh-CN" w:bidi="ar-SA"/>
        </w:rPr>
      </w:pPr>
      <w:r>
        <w:rPr>
          <w:rFonts w:ascii="仿宋_GB2312" w:hAnsi="仿宋" w:eastAsia="仿宋_GB2312" w:cs="仿宋_GB2312"/>
          <w:sz w:val="32"/>
          <w:szCs w:val="32"/>
          <w:lang w:eastAsia="zh-CN"/>
        </w:rPr>
        <w:t>投标报价不得超过项目预算金额</w:t>
      </w:r>
      <w:r>
        <w:rPr>
          <w:rFonts w:hint="eastAsia" w:ascii="仿宋_GB2312" w:hAnsi="仿宋_GB2312" w:eastAsia="仿宋_GB2312" w:cs="仿宋_GB2312"/>
          <w:kern w:val="2"/>
          <w:sz w:val="32"/>
          <w:szCs w:val="32"/>
          <w:lang w:eastAsia="zh-CN" w:bidi="ar-SA"/>
        </w:rPr>
        <w:t>。以投标人所报的有效报价中的最低价作为基准价，各投标人报价得分=（基准价/投标人报价）*</w:t>
      </w:r>
      <w:r>
        <w:rPr>
          <w:rFonts w:hint="eastAsia"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eastAsia="zh-CN" w:bidi="ar-SA"/>
        </w:rPr>
        <w:t>0分。</w:t>
      </w:r>
    </w:p>
    <w:p>
      <w:pPr>
        <w:pStyle w:val="2"/>
        <w:rPr>
          <w:rFonts w:hint="eastAsia"/>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480" w:lineRule="exact"/>
        <w:ind w:firstLine="640" w:firstLineChars="200"/>
        <w:jc w:val="left"/>
        <w:rPr>
          <w:rFonts w:hint="eastAsia" w:ascii="黑体" w:hAnsi="黑体" w:eastAsia="黑体" w:cs="黑体"/>
          <w:b/>
          <w:bCs/>
          <w:sz w:val="32"/>
          <w:szCs w:val="32"/>
        </w:rPr>
      </w:pPr>
      <w:r>
        <w:rPr>
          <w:rFonts w:hint="eastAsia" w:ascii="黑体" w:hAnsi="黑体" w:eastAsia="黑体" w:cs="黑体"/>
          <w:sz w:val="32"/>
          <w:szCs w:val="22"/>
        </w:rPr>
        <w:t>附件</w:t>
      </w: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default"/>
          <w:lang w:val="en-US" w:eastAsia="zh-CN"/>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YmY3NWE5YzQ1MmFlMGU0YWU5Mzk2MDQwOWZkNjIifQ=="/>
  </w:docVars>
  <w:rsids>
    <w:rsidRoot w:val="151F6142"/>
    <w:rsid w:val="05311335"/>
    <w:rsid w:val="0E3D0531"/>
    <w:rsid w:val="0F3F4250"/>
    <w:rsid w:val="151F6142"/>
    <w:rsid w:val="1EE9E3FC"/>
    <w:rsid w:val="2022656C"/>
    <w:rsid w:val="27BDD795"/>
    <w:rsid w:val="3BA206C2"/>
    <w:rsid w:val="3DFF5FBB"/>
    <w:rsid w:val="43C401ED"/>
    <w:rsid w:val="52EF4937"/>
    <w:rsid w:val="58AF6F99"/>
    <w:rsid w:val="5BA31B45"/>
    <w:rsid w:val="6D1DD8D9"/>
    <w:rsid w:val="6DBC849A"/>
    <w:rsid w:val="74697909"/>
    <w:rsid w:val="77FF47E1"/>
    <w:rsid w:val="77FF58D7"/>
    <w:rsid w:val="7BAD8FA8"/>
    <w:rsid w:val="7EFDF944"/>
    <w:rsid w:val="7F6DA88E"/>
    <w:rsid w:val="BEE300A6"/>
    <w:rsid w:val="BFFEC55C"/>
    <w:rsid w:val="BFFFB0ED"/>
    <w:rsid w:val="C3EF4840"/>
    <w:rsid w:val="CE9E6D24"/>
    <w:rsid w:val="DF1C4610"/>
    <w:rsid w:val="DF653801"/>
    <w:rsid w:val="E7FEF743"/>
    <w:rsid w:val="EF6F8D42"/>
    <w:rsid w:val="FBBE7F81"/>
    <w:rsid w:val="FFCEF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4">
    <w:name w:val="heading 2"/>
    <w:basedOn w:val="1"/>
    <w:next w:val="1"/>
    <w:unhideWhenUsed/>
    <w:qFormat/>
    <w:uiPriority w:val="0"/>
    <w:pPr>
      <w:keepNext/>
      <w:keepLines/>
      <w:outlineLvl w:val="1"/>
    </w:pPr>
    <w:rPr>
      <w:rFonts w:eastAsia="楷体" w:asciiTheme="majorHAnsi" w:hAnsiTheme="majorHAnsi" w:cstheme="majorBidi"/>
      <w:bCs/>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style>
  <w:style w:type="paragraph" w:styleId="6">
    <w:name w:val="Body Text"/>
    <w:basedOn w:val="1"/>
    <w:next w:val="1"/>
    <w:semiHidden/>
    <w:unhideWhenUsed/>
    <w:qFormat/>
    <w:uiPriority w:val="99"/>
    <w:pPr>
      <w:spacing w:after="120"/>
    </w:pPr>
  </w:style>
  <w:style w:type="paragraph" w:styleId="7">
    <w:name w:val="Block Text"/>
    <w:basedOn w:val="1"/>
    <w:qFormat/>
    <w:uiPriority w:val="0"/>
    <w:pPr>
      <w:tabs>
        <w:tab w:val="left" w:pos="426"/>
      </w:tabs>
      <w:spacing w:after="120"/>
      <w:ind w:left="1440" w:leftChars="700" w:right="1440" w:rightChars="700"/>
    </w:p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99"/>
    <w:pPr>
      <w:spacing w:beforeAutospacing="1" w:afterAutospacing="1"/>
      <w:jc w:val="left"/>
    </w:pPr>
    <w:rPr>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15">
    <w:name w:val="USE 1"/>
    <w:basedOn w:val="1"/>
    <w:qFormat/>
    <w:uiPriority w:val="0"/>
    <w:pPr>
      <w:spacing w:line="200" w:lineRule="atLeast"/>
      <w:jc w:val="left"/>
    </w:pPr>
    <w:rPr>
      <w:rFonts w:ascii="宋体" w:hAnsi="宋体"/>
      <w:b/>
      <w:sz w:val="24"/>
      <w:szCs w:val="28"/>
    </w:rPr>
  </w:style>
  <w:style w:type="character" w:customStyle="1" w:styleId="16">
    <w:name w:val="font1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4647</Words>
  <Characters>4802</Characters>
  <Lines>0</Lines>
  <Paragraphs>0</Paragraphs>
  <TotalTime>11</TotalTime>
  <ScaleCrop>false</ScaleCrop>
  <LinksUpToDate>false</LinksUpToDate>
  <CharactersWithSpaces>4823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2023-07-08T23:13:00Z</dcterms:created>
  <dc:creator>江伟豪</dc:creator>
  <cp:lastModifiedBy>oyh</cp:lastModifiedBy>
  <cp:lastPrinted>2023-10-12T17:18:00Z</cp:lastPrinted>
  <dcterms:modified xsi:type="dcterms:W3CDTF">2023-11-09T15:11:52Z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B65F9D2210C2473AA98B8CC06EF74D75_13</vt:lpwstr>
  </property>
</Properties>
</file>