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adjustRightInd/>
        <w:snapToGrid/>
        <w:spacing w:beforeLines="0" w:afterLines="0"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市应急管理局关于公布化工医药及危险化学品安全生产标准化三级达标企业名单（2023年第7批次）的通知</w:t>
      </w:r>
    </w:p>
    <w:p>
      <w:pPr>
        <w:keepNext w:val="0"/>
        <w:keepLines w:val="0"/>
        <w:pageBreakBefore w:val="0"/>
        <w:widowControl w:val="0"/>
        <w:kinsoku/>
        <w:wordWrap/>
        <w:overflowPunct/>
        <w:topLinePunct w:val="0"/>
        <w:autoSpaceDE/>
        <w:autoSpaceDN/>
        <w:adjustRightInd/>
        <w:snapToGrid/>
        <w:spacing w:beforeLines="0" w:afterLines="0" w:line="560" w:lineRule="exact"/>
        <w:jc w:val="left"/>
        <w:textAlignment w:val="auto"/>
        <w:rPr>
          <w:rFonts w:hint="eastAsia" w:ascii="FangSong_GB2312" w:hAnsi="FangSong_GB2312" w:eastAsia="FangSong_GB2312"/>
          <w:sz w:val="32"/>
        </w:rPr>
      </w:pPr>
    </w:p>
    <w:p>
      <w:pPr>
        <w:keepNext w:val="0"/>
        <w:keepLines w:val="0"/>
        <w:pageBreakBefore w:val="0"/>
        <w:widowControl w:val="0"/>
        <w:kinsoku/>
        <w:wordWrap/>
        <w:overflowPunct/>
        <w:topLinePunct w:val="0"/>
        <w:autoSpaceDE/>
        <w:autoSpaceDN/>
        <w:adjustRightInd/>
        <w:snapToGrid/>
        <w:spacing w:beforeLines="0" w:afterLines="0" w:line="560" w:lineRule="exact"/>
        <w:jc w:val="left"/>
        <w:textAlignment w:val="auto"/>
        <w:rPr>
          <w:rFonts w:hint="eastAsia" w:ascii="FangSong_GB2312" w:hAnsi="FangSong_GB2312" w:eastAsia="FangSong_GB2312"/>
          <w:sz w:val="32"/>
        </w:rPr>
      </w:pPr>
      <w:r>
        <w:rPr>
          <w:rFonts w:hint="eastAsia" w:ascii="FangSong_GB2312" w:hAnsi="FangSong_GB2312" w:eastAsia="FangSong_GB2312"/>
          <w:sz w:val="32"/>
        </w:rPr>
        <w:t>各区（含新区、深汕特别合作区，下同）应急管理局，相关企业:</w:t>
      </w: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根据《深圳市应急管理局关于调整优化化工医药及危险化学品企业安全生产标准化三级达标工作的通知》（深应急规〔2020〕4号）等规定，经企业申请、区应急管理局审查，我局核准深圳市同方电子新材料有限公司等10家企业为危险化学品安全生产标准化三级达标企业,现予以公告，有效期自公告之日起3年。</w:t>
      </w: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特此通知。</w:t>
      </w: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附件：深圳市化工医药及危险化学品安全生产标准化三级达标企业名单（2023年第7批次）</w:t>
      </w: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rPr>
      </w:pP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rPr>
      </w:pPr>
    </w:p>
    <w:p>
      <w:pPr>
        <w:keepNext w:val="0"/>
        <w:keepLines w:val="0"/>
        <w:pageBreakBefore w:val="0"/>
        <w:widowControl w:val="0"/>
        <w:kinsoku/>
        <w:wordWrap/>
        <w:overflowPunct/>
        <w:topLinePunct w:val="0"/>
        <w:autoSpaceDE/>
        <w:autoSpaceDN/>
        <w:adjustRightInd/>
        <w:snapToGrid/>
        <w:spacing w:beforeLines="0" w:afterLines="0" w:line="560" w:lineRule="exact"/>
        <w:jc w:val="right"/>
        <w:textAlignment w:val="auto"/>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深圳市应急管理局</w:t>
      </w:r>
    </w:p>
    <w:p>
      <w:pPr>
        <w:keepNext w:val="0"/>
        <w:keepLines w:val="0"/>
        <w:pageBreakBefore w:val="0"/>
        <w:widowControl w:val="0"/>
        <w:kinsoku/>
        <w:wordWrap/>
        <w:overflowPunct/>
        <w:topLinePunct w:val="0"/>
        <w:autoSpaceDE/>
        <w:autoSpaceDN/>
        <w:adjustRightInd/>
        <w:snapToGrid/>
        <w:spacing w:beforeLines="0" w:afterLines="0" w:line="560" w:lineRule="exact"/>
        <w:jc w:val="right"/>
        <w:textAlignment w:val="auto"/>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2023年11月09日</w:t>
      </w:r>
    </w:p>
    <w:p>
      <w:pPr>
        <w:keepNext w:val="0"/>
        <w:keepLines w:val="0"/>
        <w:pageBreakBefore w:val="0"/>
        <w:widowControl w:val="0"/>
        <w:kinsoku/>
        <w:wordWrap/>
        <w:overflowPunct/>
        <w:topLinePunct w:val="0"/>
        <w:autoSpaceDE/>
        <w:autoSpaceDN/>
        <w:adjustRightInd/>
        <w:snapToGrid/>
        <w:spacing w:beforeLines="0" w:afterLines="0" w:line="560" w:lineRule="exact"/>
        <w:jc w:val="left"/>
        <w:textAlignment w:val="auto"/>
        <w:rPr>
          <w:rFonts w:hint="eastAsia" w:ascii="FangSong_GB2312" w:hAnsi="FangSong_GB2312" w:eastAsia="FangSong_GB2312"/>
          <w:sz w:val="32"/>
          <w:lang w:val="en-US" w:eastAsia="zh-CN"/>
        </w:rPr>
      </w:pP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lang w:val="en-US" w:eastAsia="zh-CN"/>
        </w:rPr>
      </w:pPr>
      <w:bookmarkStart w:id="0" w:name="_GoBack"/>
      <w:bookmarkEnd w:id="0"/>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lang w:val="en-US" w:eastAsia="zh-CN"/>
        </w:rPr>
      </w:pPr>
    </w:p>
    <w:p>
      <w:pPr>
        <w:keepNext w:val="0"/>
        <w:keepLines w:val="0"/>
        <w:pageBreakBefore w:val="0"/>
        <w:widowControl w:val="0"/>
        <w:kinsoku/>
        <w:wordWrap/>
        <w:overflowPunct/>
        <w:topLinePunct w:val="0"/>
        <w:autoSpaceDE/>
        <w:autoSpaceDN/>
        <w:adjustRightInd/>
        <w:snapToGrid/>
        <w:spacing w:beforeLines="0" w:afterLines="0" w:line="560" w:lineRule="exact"/>
        <w:ind w:firstLine="640" w:firstLineChars="200"/>
        <w:jc w:val="left"/>
        <w:textAlignment w:val="auto"/>
        <w:rPr>
          <w:rFonts w:hint="eastAsia" w:ascii="FangSong_GB2312" w:hAnsi="FangSong_GB2312" w:eastAsia="FangSong_GB2312"/>
          <w:sz w:val="32"/>
          <w:lang w:val="en-US" w:eastAsia="zh-CN"/>
        </w:rPr>
      </w:pPr>
    </w:p>
    <w:p>
      <w:pPr>
        <w:keepNext w:val="0"/>
        <w:keepLines w:val="0"/>
        <w:pageBreakBefore w:val="0"/>
        <w:widowControl w:val="0"/>
        <w:kinsoku/>
        <w:wordWrap/>
        <w:overflowPunct/>
        <w:topLinePunct w:val="0"/>
        <w:autoSpaceDE/>
        <w:autoSpaceDN/>
        <w:adjustRightInd/>
        <w:snapToGrid/>
        <w:spacing w:beforeLines="0" w:afterLines="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深圳市化工医药及危险化学品安全生产标准化三级达标企业名单（2023年第7批次）</w:t>
      </w:r>
    </w:p>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方正小标宋简体" w:hAnsi="方正小标宋简体" w:eastAsia="方正小标宋简体" w:cs="方正小标宋简体"/>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690"/>
        <w:gridCol w:w="1455"/>
        <w:gridCol w:w="15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1" w:type="dxa"/>
            <w:shd w:val="clear" w:color="auto" w:fill="auto"/>
            <w:noWrap w:val="0"/>
            <w:vAlign w:val="center"/>
          </w:tcPr>
          <w:p>
            <w:pPr>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3690" w:type="dxa"/>
            <w:shd w:val="clear" w:color="auto" w:fill="auto"/>
            <w:noWrap w:val="0"/>
            <w:vAlign w:val="center"/>
          </w:tcPr>
          <w:p>
            <w:pPr>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企业名称</w:t>
            </w:r>
          </w:p>
        </w:tc>
        <w:tc>
          <w:tcPr>
            <w:tcW w:w="1455" w:type="dxa"/>
            <w:shd w:val="clear" w:color="auto" w:fill="auto"/>
            <w:noWrap w:val="0"/>
            <w:vAlign w:val="center"/>
          </w:tcPr>
          <w:p>
            <w:pPr>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企业类别</w:t>
            </w:r>
          </w:p>
        </w:tc>
        <w:tc>
          <w:tcPr>
            <w:tcW w:w="1560" w:type="dxa"/>
            <w:shd w:val="clear" w:color="auto" w:fill="auto"/>
            <w:noWrap w:val="0"/>
            <w:vAlign w:val="center"/>
          </w:tcPr>
          <w:p>
            <w:pPr>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所属区域</w:t>
            </w:r>
          </w:p>
        </w:tc>
        <w:tc>
          <w:tcPr>
            <w:tcW w:w="1080" w:type="dxa"/>
            <w:shd w:val="clear" w:color="auto" w:fill="auto"/>
            <w:noWrap w:val="0"/>
            <w:vAlign w:val="center"/>
          </w:tcPr>
          <w:p>
            <w:pPr>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b/>
                <w:color w:val="auto"/>
                <w:sz w:val="24"/>
                <w:szCs w:val="24"/>
                <w:vertAlign w:val="baseline"/>
                <w:lang w:val="en-US" w:eastAsia="zh-CN"/>
              </w:rPr>
            </w:pPr>
            <w:r>
              <w:rPr>
                <w:rFonts w:hint="eastAsia" w:ascii="仿宋_GB2312" w:eastAsia="仿宋_GB2312"/>
                <w:b/>
                <w:color w:val="auto"/>
                <w:sz w:val="24"/>
                <w:szCs w:val="24"/>
                <w:vertAlign w:val="baseline"/>
                <w:lang w:val="en-US" w:eastAsia="zh-CN"/>
              </w:rPr>
              <w:t>一</w:t>
            </w:r>
          </w:p>
        </w:tc>
        <w:tc>
          <w:tcPr>
            <w:tcW w:w="7785" w:type="dxa"/>
            <w:gridSpan w:val="4"/>
            <w:shd w:val="clear" w:color="auto" w:fill="auto"/>
            <w:noWrap w:val="0"/>
            <w:vAlign w:val="center"/>
          </w:tcPr>
          <w:p>
            <w:pPr>
              <w:widowControl w:val="0"/>
              <w:jc w:val="left"/>
              <w:rPr>
                <w:rFonts w:hint="eastAsia" w:ascii="仿宋_GB2312" w:eastAsia="仿宋_GB2312"/>
                <w:b/>
                <w:color w:val="auto"/>
                <w:sz w:val="24"/>
                <w:szCs w:val="24"/>
                <w:vertAlign w:val="baseline"/>
                <w:lang w:eastAsia="zh-CN"/>
              </w:rPr>
            </w:pPr>
            <w:r>
              <w:rPr>
                <w:rFonts w:hint="eastAsia" w:ascii="仿宋_GB2312" w:eastAsia="仿宋_GB2312"/>
                <w:b/>
                <w:color w:val="auto"/>
                <w:sz w:val="24"/>
                <w:szCs w:val="24"/>
                <w:vertAlign w:val="baseline"/>
                <w:lang w:val="en-US" w:eastAsia="zh-CN"/>
              </w:rPr>
              <w:t>化工</w:t>
            </w:r>
            <w:r>
              <w:rPr>
                <w:rFonts w:hint="eastAsia" w:ascii="仿宋_GB2312" w:eastAsia="仿宋_GB2312"/>
                <w:b/>
                <w:color w:val="auto"/>
                <w:sz w:val="24"/>
                <w:szCs w:val="24"/>
                <w:vertAlign w:val="baseline"/>
                <w:lang w:eastAsia="zh-CN"/>
              </w:rPr>
              <w:t>行业安全生产标准化三级达标企业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b/>
                <w:color w:val="auto"/>
                <w:sz w:val="24"/>
                <w:szCs w:val="24"/>
                <w:vertAlign w:val="baseline"/>
                <w:lang w:val="en-US" w:eastAsia="zh-CN"/>
              </w:rPr>
            </w:pPr>
            <w:r>
              <w:rPr>
                <w:rFonts w:hint="eastAsia" w:ascii="仿宋_GB2312" w:eastAsia="仿宋_GB2312"/>
                <w:b/>
                <w:color w:val="auto"/>
                <w:sz w:val="24"/>
                <w:szCs w:val="24"/>
                <w:vertAlign w:val="baseline"/>
                <w:lang w:val="en-US" w:eastAsia="zh-CN"/>
              </w:rPr>
              <w:t>二</w:t>
            </w:r>
          </w:p>
        </w:tc>
        <w:tc>
          <w:tcPr>
            <w:tcW w:w="7785" w:type="dxa"/>
            <w:gridSpan w:val="4"/>
            <w:shd w:val="clear" w:color="auto" w:fill="auto"/>
            <w:noWrap w:val="0"/>
            <w:vAlign w:val="center"/>
          </w:tcPr>
          <w:p>
            <w:pPr>
              <w:widowControl w:val="0"/>
              <w:jc w:val="left"/>
              <w:rPr>
                <w:rFonts w:hint="eastAsia" w:ascii="仿宋_GB2312" w:eastAsia="仿宋_GB2312"/>
                <w:b/>
                <w:color w:val="auto"/>
                <w:sz w:val="24"/>
                <w:szCs w:val="24"/>
                <w:vertAlign w:val="baseline"/>
                <w:lang w:eastAsia="zh-CN"/>
              </w:rPr>
            </w:pPr>
            <w:r>
              <w:rPr>
                <w:rFonts w:hint="eastAsia" w:ascii="仿宋_GB2312" w:eastAsia="仿宋_GB2312"/>
                <w:b/>
                <w:color w:val="auto"/>
                <w:sz w:val="24"/>
                <w:szCs w:val="24"/>
                <w:vertAlign w:val="baseline"/>
                <w:lang w:eastAsia="zh-CN"/>
              </w:rPr>
              <w:t>医药行业安全生产标准化三级达标企业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b/>
                <w:color w:val="auto"/>
                <w:sz w:val="24"/>
                <w:szCs w:val="24"/>
                <w:vertAlign w:val="baseline"/>
                <w:lang w:val="en-US" w:eastAsia="zh-CN"/>
              </w:rPr>
            </w:pPr>
            <w:r>
              <w:rPr>
                <w:rFonts w:hint="eastAsia" w:ascii="仿宋_GB2312" w:eastAsia="仿宋_GB2312"/>
                <w:b/>
                <w:color w:val="auto"/>
                <w:sz w:val="24"/>
                <w:szCs w:val="24"/>
                <w:vertAlign w:val="baseline"/>
                <w:lang w:val="en-US" w:eastAsia="zh-CN"/>
              </w:rPr>
              <w:t>三</w:t>
            </w:r>
          </w:p>
        </w:tc>
        <w:tc>
          <w:tcPr>
            <w:tcW w:w="7785" w:type="dxa"/>
            <w:gridSpan w:val="4"/>
            <w:shd w:val="clear" w:color="auto" w:fill="auto"/>
            <w:noWrap w:val="0"/>
            <w:vAlign w:val="center"/>
          </w:tcPr>
          <w:p>
            <w:pPr>
              <w:widowControl w:val="0"/>
              <w:jc w:val="left"/>
              <w:rPr>
                <w:rFonts w:hint="eastAsia" w:ascii="仿宋_GB2312" w:eastAsia="仿宋_GB2312"/>
                <w:b/>
                <w:color w:val="auto"/>
                <w:sz w:val="24"/>
                <w:szCs w:val="24"/>
                <w:vertAlign w:val="baseline"/>
                <w:lang w:eastAsia="zh-CN"/>
              </w:rPr>
            </w:pPr>
            <w:r>
              <w:rPr>
                <w:rFonts w:hint="eastAsia" w:ascii="仿宋_GB2312" w:eastAsia="仿宋_GB2312"/>
                <w:b/>
                <w:color w:val="auto"/>
                <w:sz w:val="24"/>
                <w:szCs w:val="24"/>
                <w:vertAlign w:val="baseline"/>
                <w:lang w:eastAsia="zh-CN"/>
              </w:rPr>
              <w:t>危险化学品安全生产标准化三级达标企业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深圳市普滨实业有限公司第一加油站</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深圳市普滨实业有限公司龙华加油站</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3</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深圳市金龙安加油站有限公司</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4</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深圳市宝安区龙华供销社加油站</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5</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深圳市油松加油站有限公司</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6</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深圳市同方电子新材料有限公司</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生产企业</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7</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深圳市中油宏锦能源石油有限公司新劲源加油站</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8</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深圳雅联新材料有限公司</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生产企业</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9</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中国石化销售股份有限公司广东深圳观澜加油站</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1"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10</w:t>
            </w:r>
          </w:p>
        </w:tc>
        <w:tc>
          <w:tcPr>
            <w:tcW w:w="369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深圳市贺浩加油站有限公司龙环分公司</w:t>
            </w:r>
          </w:p>
        </w:tc>
        <w:tc>
          <w:tcPr>
            <w:tcW w:w="1455" w:type="dxa"/>
            <w:shd w:val="clear" w:color="auto" w:fill="auto"/>
            <w:noWrap w:val="0"/>
            <w:vAlign w:val="center"/>
          </w:tcPr>
          <w:p>
            <w:pPr>
              <w:widowControl w:val="0"/>
              <w:jc w:val="center"/>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加油站</w:t>
            </w:r>
          </w:p>
        </w:tc>
        <w:tc>
          <w:tcPr>
            <w:tcW w:w="156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val="en-US" w:eastAsia="zh-CN"/>
              </w:rPr>
              <w:t>龙华区</w:t>
            </w:r>
          </w:p>
        </w:tc>
        <w:tc>
          <w:tcPr>
            <w:tcW w:w="1080" w:type="dxa"/>
            <w:shd w:val="clear" w:color="auto" w:fill="auto"/>
            <w:noWrap w:val="0"/>
            <w:vAlign w:val="center"/>
          </w:tcPr>
          <w:p>
            <w:pPr>
              <w:widowControl w:val="0"/>
              <w:jc w:val="center"/>
              <w:rPr>
                <w:rFonts w:hint="eastAsia" w:ascii="仿宋_GB2312" w:eastAsia="仿宋_GB2312"/>
                <w:color w:val="auto"/>
                <w:sz w:val="24"/>
                <w:szCs w:val="24"/>
                <w:vertAlign w:val="baseline"/>
                <w:lang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方正小标宋简体" w:hAnsi="方正小标宋简体" w:eastAsia="方正小标宋简体" w:cs="方正小标宋简体"/>
          <w:sz w:val="44"/>
          <w:szCs w:val="44"/>
        </w:rPr>
      </w:pPr>
    </w:p>
    <w:p>
      <w:pPr>
        <w:spacing w:beforeLines="0" w:afterLines="0"/>
        <w:jc w:val="left"/>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B735A"/>
    <w:rsid w:val="6FFD0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kern w:val="2"/>
      <w:sz w:val="21"/>
      <w:lang w:val="en-US" w:eastAsia="zh-CN"/>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2</TotalTime>
  <ScaleCrop>false</ScaleCrop>
  <LinksUpToDate>false</LinksUpToDate>
  <CharactersWithSpaces>0</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2015-04-20T17:04:00Z</dcterms:created>
  <dc:creator>Administrator</dc:creator>
  <cp:lastModifiedBy>liuxinwu</cp:lastModifiedBy>
  <dcterms:modified xsi:type="dcterms:W3CDTF">2023-11-10T15:50:05Z</dcterms:modified>
  <dc:title>关于路南区工贸行业小微企业安全生产标 准化达标准企业的公示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