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i w:val="0"/>
          <w:caps w:val="0"/>
          <w:color w:val="333333"/>
          <w:spacing w:val="0"/>
          <w:sz w:val="24"/>
          <w:szCs w:val="24"/>
        </w:rPr>
      </w:pPr>
      <w:r>
        <w:rPr>
          <w:rFonts w:hint="eastAsia" w:ascii="方正小标宋简体" w:hAnsi="方正小标宋简体" w:eastAsia="方正小标宋简体" w:cs="方正小标宋简体"/>
          <w:bCs/>
          <w:color w:val="333333"/>
          <w:sz w:val="44"/>
          <w:szCs w:val="44"/>
          <w:shd w:val="clear" w:color="auto" w:fill="FFFFFF"/>
        </w:rPr>
        <w:t>观湖街道202</w:t>
      </w:r>
      <w:r>
        <w:rPr>
          <w:rFonts w:hint="default" w:ascii="方正小标宋简体" w:hAnsi="方正小标宋简体" w:eastAsia="方正小标宋简体" w:cs="方正小标宋简体"/>
          <w:bCs/>
          <w:color w:val="333333"/>
          <w:sz w:val="44"/>
          <w:szCs w:val="44"/>
          <w:shd w:val="clear" w:color="auto" w:fill="FFFFFF"/>
          <w:lang w:val="en"/>
        </w:rPr>
        <w:t>3</w:t>
      </w:r>
      <w:r>
        <w:rPr>
          <w:rFonts w:hint="eastAsia" w:ascii="方正小标宋简体" w:hAnsi="方正小标宋简体" w:eastAsia="方正小标宋简体" w:cs="方正小标宋简体"/>
          <w:bCs/>
          <w:color w:val="333333"/>
          <w:sz w:val="44"/>
          <w:szCs w:val="44"/>
          <w:shd w:val="clear" w:color="auto" w:fill="FFFFFF"/>
        </w:rPr>
        <w:t>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eastAsia" w:ascii="黑体" w:hAnsi="黑体" w:eastAsia="黑体" w:cs="黑体"/>
          <w:b w:val="0"/>
          <w:bCs/>
          <w:i w:val="0"/>
          <w:caps w:val="0"/>
          <w:color w:val="333333"/>
          <w:spacing w:val="0"/>
          <w:sz w:val="32"/>
          <w:szCs w:val="32"/>
          <w:shd w:val="clear" w:fill="FFFFFF"/>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本报告是根据《中华人民共和国政府信息公开条例》《深圳市政府信息公开规定》《深圳市龙华区政府信息公开规定》等文件要求，由观湖街道对2023年度政府信息公开工作进行认真总结并编制。报告主要内容包括总体情况、主动公开政府信息情况、收到和处理政府信息公开申请情况、政府信息公开行政复议和行政诉讼情况、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一、总体情况</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2023年度，观湖街道认真执行《中华人民共和国政府信息公开条例》以及《深圳市政府信息公开规定》等相关文件精神，结合街道实际，坚持“以人为本、服务群众”，不断完善政府信息公开工作机制，整合网络资源，深化公开内容，创新公开形式，突出公开重点，扎实推进政府信息公开各项工作的开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（一）主动公开政府信息情况</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观湖街道政府信息公开工作严格按照“公开为常态，不公开为例外”的总体要求，妥善处理公开与保密的关系，合理界定信息公开范围，做到积极稳妥、及时准确。截至2023年12月31日，我街道政务网站发布政府公开信息464条，其中工作动态163条、通知公告63条、转载政策文件2条、年度工作计划及总结2条、财政预决算2条、民生实事栏目信息4条、信息公开年度报告1条、业务及互动交流类信息87条、行政执法信息112条，协助办理领导信箱网上接收投诉咨询并回复41件，处理网络舆情167件</w:t>
      </w:r>
      <w:r>
        <w:rPr>
          <w:rFonts w:hint="eastAsia" w:ascii="仿宋_GB2312" w:hAnsi="仿宋" w:eastAsia="仿宋_GB2312"/>
          <w:sz w:val="32"/>
          <w:szCs w:val="32"/>
          <w:lang w:val="en" w:eastAsia="zh-CN"/>
        </w:rPr>
        <w:t>，</w:t>
      </w:r>
      <w:r>
        <w:rPr>
          <w:rFonts w:hint="default" w:ascii="仿宋_GB2312" w:hAnsi="仿宋" w:eastAsia="仿宋_GB2312"/>
          <w:sz w:val="32"/>
          <w:szCs w:val="32"/>
          <w:lang w:val="en" w:eastAsia="zh-CN"/>
        </w:rPr>
        <w:t>统一分拨平台58条、《区长信箱》28条，办结率100%</w:t>
      </w:r>
      <w:r>
        <w:rPr>
          <w:rFonts w:hint="eastAsia" w:ascii="仿宋_GB2312" w:hAnsi="仿宋" w:eastAsia="仿宋_GB2312"/>
          <w:sz w:val="32"/>
          <w:szCs w:val="32"/>
          <w:lang w:val="en-US" w:eastAsia="zh-CN"/>
        </w:rPr>
        <w:t>。</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（二）依申请公开政府信息情况</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严格按照政务公开相关法律法规要求，针对申请公开事项制作承办登记表，明确牵头单位，并召开专题会议，不断强化依申请公开工作组织、协调和处理工作。2023年，观湖街道收到政府信息公开申请4件，办结2件，结转下一年2件。</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（三）政府信息公开平台建设工作情况</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根据《中华人民共和国政府信息公开条例》《广东省人民政府办公厅关于进一步推进省市县三级主动公开基本目录编制发布工作的通知》（粤办函〔2021〕255号）、《深圳市人民政府办公厅关于编制主动公开基本目录的通知》《深圳市龙华区政务公开领导小组办公室关于编制主动公开基本目录工作的通知》（深龙华政公办函〔2021〕14号）文件要求，编制主动公开基本目录，强化政府信息公开指南、主动公开内容、政府信息公开年报等内容更新。</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（四）政务公开监督保障情况</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健全观湖街道政务信息公开领导机构，及时调整政务公开领导小组办公室组成成员，建立政务公开三级责任体系，明确第一责任人、分管负责人、直接责任人制度。完善信息审核发布机制，制定《观湖街道政府网站信息发布申请表》，严把保密审查关，确保网站信息发布工作规范化。</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0"/>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lang w:eastAsia="zh-CN"/>
        </w:rPr>
        <w:t>二、</w:t>
      </w:r>
      <w:r>
        <w:rPr>
          <w:rFonts w:hint="eastAsia" w:ascii="黑体" w:hAnsi="黑体" w:eastAsia="黑体" w:cs="黑体"/>
          <w:b w:val="0"/>
          <w:bCs/>
          <w:i w:val="0"/>
          <w:caps w:val="0"/>
          <w:color w:val="333333"/>
          <w:spacing w:val="0"/>
          <w:sz w:val="32"/>
          <w:szCs w:val="32"/>
          <w:shd w:val="clear" w:fill="FFFFFF"/>
        </w:rPr>
        <w:t>主动公开政府信息情况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0"/>
        <w:rPr>
          <w:rFonts w:hint="eastAsia" w:ascii="黑体" w:hAnsi="黑体" w:eastAsia="黑体" w:cs="黑体"/>
          <w:b w:val="0"/>
          <w:bCs/>
          <w:i w:val="0"/>
          <w:caps w:val="0"/>
          <w:color w:val="333333"/>
          <w:spacing w:val="0"/>
          <w:sz w:val="32"/>
          <w:szCs w:val="32"/>
          <w:shd w:val="clear" w:fill="FFFFFF"/>
        </w:rPr>
      </w:pPr>
    </w:p>
    <w:tbl>
      <w:tblPr>
        <w:tblStyle w:val="4"/>
        <w:tblW w:w="8140" w:type="dxa"/>
        <w:jc w:val="center"/>
        <w:shd w:val="clear" w:color="auto" w:fill="auto"/>
        <w:tblLayout w:type="fixed"/>
        <w:tblCellMar>
          <w:top w:w="0" w:type="dxa"/>
          <w:left w:w="0" w:type="dxa"/>
          <w:bottom w:w="0" w:type="dxa"/>
          <w:right w:w="0" w:type="dxa"/>
        </w:tblCellMar>
      </w:tblPr>
      <w:tblGrid>
        <w:gridCol w:w="2970"/>
        <w:gridCol w:w="1782"/>
        <w:gridCol w:w="1728"/>
        <w:gridCol w:w="1660"/>
      </w:tblGrid>
      <w:tr>
        <w:tblPrEx>
          <w:shd w:val="clear" w:color="auto" w:fill="auto"/>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第二十条第（一）项</w:t>
            </w:r>
          </w:p>
        </w:tc>
      </w:tr>
      <w:tr>
        <w:tblPrEx>
          <w:tblCellMar>
            <w:top w:w="0" w:type="dxa"/>
            <w:left w:w="0" w:type="dxa"/>
            <w:bottom w:w="0" w:type="dxa"/>
            <w:right w:w="0" w:type="dxa"/>
          </w:tblCellMar>
        </w:tblPrEx>
        <w:trPr>
          <w:trHeight w:val="882" w:hRule="atLeast"/>
          <w:jc w:val="center"/>
        </w:trPr>
        <w:tc>
          <w:tcPr>
            <w:tcW w:w="2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信息内容</w:t>
            </w:r>
          </w:p>
        </w:tc>
        <w:tc>
          <w:tcPr>
            <w:tcW w:w="178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本年制发件数</w:t>
            </w:r>
          </w:p>
        </w:tc>
        <w:tc>
          <w:tcPr>
            <w:tcW w:w="17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本年废止件数</w:t>
            </w:r>
          </w:p>
        </w:tc>
        <w:tc>
          <w:tcPr>
            <w:tcW w:w="16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现行有效件数</w:t>
            </w:r>
          </w:p>
        </w:tc>
      </w:tr>
      <w:tr>
        <w:tblPrEx>
          <w:tblCellMar>
            <w:top w:w="0" w:type="dxa"/>
            <w:left w:w="0" w:type="dxa"/>
            <w:bottom w:w="0" w:type="dxa"/>
            <w:right w:w="0" w:type="dxa"/>
          </w:tblCellMar>
        </w:tblPrEx>
        <w:trPr>
          <w:trHeight w:val="523" w:hRule="atLeast"/>
          <w:jc w:val="center"/>
        </w:trPr>
        <w:tc>
          <w:tcPr>
            <w:tcW w:w="2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both"/>
              <w:rPr>
                <w:sz w:val="24"/>
                <w:szCs w:val="24"/>
              </w:rPr>
            </w:pPr>
            <w:r>
              <w:rPr>
                <w:rFonts w:hint="eastAsia" w:ascii="宋体" w:hAnsi="宋体" w:eastAsia="宋体" w:cs="宋体"/>
                <w:color w:val="000000"/>
                <w:kern w:val="0"/>
                <w:sz w:val="24"/>
                <w:szCs w:val="24"/>
                <w:lang w:val="en-US" w:eastAsia="zh-CN" w:bidi="ar"/>
              </w:rPr>
              <w:t>规章</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color w:val="000000"/>
                <w:kern w:val="0"/>
                <w:sz w:val="20"/>
                <w:szCs w:val="20"/>
              </w:rPr>
              <w:t>/</w:t>
            </w:r>
          </w:p>
        </w:tc>
        <w:tc>
          <w:tcPr>
            <w:tcW w:w="172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color w:val="000000"/>
                <w:kern w:val="0"/>
                <w:sz w:val="20"/>
                <w:szCs w:val="20"/>
              </w:rPr>
              <w:t>/</w:t>
            </w:r>
          </w:p>
        </w:tc>
        <w:tc>
          <w:tcPr>
            <w:tcW w:w="16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color w:val="000000"/>
                <w:kern w:val="0"/>
                <w:sz w:val="20"/>
                <w:szCs w:val="20"/>
              </w:rPr>
              <w:t>/</w:t>
            </w:r>
          </w:p>
        </w:tc>
      </w:tr>
      <w:tr>
        <w:tblPrEx>
          <w:tblCellMar>
            <w:top w:w="0" w:type="dxa"/>
            <w:left w:w="0" w:type="dxa"/>
            <w:bottom w:w="0" w:type="dxa"/>
            <w:right w:w="0" w:type="dxa"/>
          </w:tblCellMar>
        </w:tblPrEx>
        <w:trPr>
          <w:trHeight w:val="471" w:hRule="atLeast"/>
          <w:jc w:val="center"/>
        </w:trPr>
        <w:tc>
          <w:tcPr>
            <w:tcW w:w="2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both"/>
              <w:rPr>
                <w:sz w:val="24"/>
                <w:szCs w:val="24"/>
              </w:rPr>
            </w:pPr>
            <w:r>
              <w:rPr>
                <w:rFonts w:hint="eastAsia" w:ascii="宋体" w:hAnsi="宋体" w:eastAsia="宋体" w:cs="宋体"/>
                <w:color w:val="000000"/>
                <w:kern w:val="0"/>
                <w:sz w:val="24"/>
                <w:szCs w:val="24"/>
                <w:lang w:val="en-US" w:eastAsia="zh-CN" w:bidi="ar"/>
              </w:rPr>
              <w:t>行政规范性文件</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color w:val="000000"/>
                <w:kern w:val="0"/>
                <w:sz w:val="20"/>
                <w:szCs w:val="20"/>
              </w:rPr>
              <w:t>/</w:t>
            </w:r>
          </w:p>
        </w:tc>
        <w:tc>
          <w:tcPr>
            <w:tcW w:w="172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asciiTheme="minorHAnsi" w:hAnsiTheme="minorHAnsi" w:eastAsiaTheme="minorEastAsia" w:cstheme="minorBidi"/>
                <w:kern w:val="2"/>
                <w:sz w:val="24"/>
                <w:szCs w:val="24"/>
                <w:lang w:val="en-US" w:eastAsia="zh-CN" w:bidi="ar-SA"/>
              </w:rPr>
            </w:pPr>
            <w:r>
              <w:rPr>
                <w:rFonts w:hint="eastAsia" w:ascii="宋体" w:hAnsi="宋体" w:eastAsia="宋体" w:cs="宋体"/>
                <w:color w:val="000000"/>
                <w:kern w:val="0"/>
                <w:sz w:val="20"/>
                <w:szCs w:val="20"/>
              </w:rPr>
              <w:t>/</w:t>
            </w:r>
          </w:p>
        </w:tc>
        <w:tc>
          <w:tcPr>
            <w:tcW w:w="16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color w:val="000000"/>
                <w:kern w:val="0"/>
                <w:sz w:val="20"/>
                <w:szCs w:val="20"/>
              </w:rPr>
              <w:t>/</w:t>
            </w:r>
          </w:p>
        </w:tc>
      </w:tr>
      <w:tr>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第二十条第（五）项</w:t>
            </w:r>
          </w:p>
        </w:tc>
      </w:tr>
      <w:tr>
        <w:tblPrEx>
          <w:tblCellMar>
            <w:top w:w="0" w:type="dxa"/>
            <w:left w:w="0" w:type="dxa"/>
            <w:bottom w:w="0" w:type="dxa"/>
            <w:right w:w="0" w:type="dxa"/>
          </w:tblCellMar>
        </w:tblPrEx>
        <w:trPr>
          <w:trHeight w:val="634" w:hRule="atLeast"/>
          <w:jc w:val="center"/>
        </w:trPr>
        <w:tc>
          <w:tcPr>
            <w:tcW w:w="2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信息内容</w:t>
            </w:r>
          </w:p>
        </w:tc>
        <w:tc>
          <w:tcPr>
            <w:tcW w:w="517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本年处理决定数量</w:t>
            </w:r>
          </w:p>
        </w:tc>
      </w:tr>
      <w:tr>
        <w:tblPrEx>
          <w:tblCellMar>
            <w:top w:w="0" w:type="dxa"/>
            <w:left w:w="0" w:type="dxa"/>
            <w:bottom w:w="0" w:type="dxa"/>
            <w:right w:w="0" w:type="dxa"/>
          </w:tblCellMar>
        </w:tblPrEx>
        <w:trPr>
          <w:trHeight w:val="778" w:hRule="exact"/>
          <w:jc w:val="center"/>
        </w:trPr>
        <w:tc>
          <w:tcPr>
            <w:tcW w:w="2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sz w:val="24"/>
                <w:szCs w:val="24"/>
              </w:rPr>
            </w:pPr>
            <w:r>
              <w:rPr>
                <w:rFonts w:hint="eastAsia" w:ascii="宋体" w:hAnsi="宋体" w:eastAsia="宋体" w:cs="宋体"/>
                <w:color w:val="000000"/>
                <w:kern w:val="0"/>
                <w:sz w:val="24"/>
                <w:szCs w:val="24"/>
                <w:lang w:val="en-US" w:eastAsia="zh-CN" w:bidi="ar"/>
              </w:rPr>
              <w:t>行政许可</w:t>
            </w:r>
          </w:p>
        </w:tc>
        <w:tc>
          <w:tcPr>
            <w:tcW w:w="5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0"/>
                <w:szCs w:val="20"/>
              </w:rPr>
              <w:t>/</w:t>
            </w:r>
          </w:p>
        </w:tc>
      </w:tr>
      <w:tr>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第二十条第（六）项</w:t>
            </w:r>
          </w:p>
        </w:tc>
      </w:tr>
      <w:tr>
        <w:tblPrEx>
          <w:tblCellMar>
            <w:top w:w="0" w:type="dxa"/>
            <w:left w:w="0" w:type="dxa"/>
            <w:bottom w:w="0" w:type="dxa"/>
            <w:right w:w="0" w:type="dxa"/>
          </w:tblCellMar>
        </w:tblPrEx>
        <w:trPr>
          <w:trHeight w:val="634" w:hRule="atLeast"/>
          <w:jc w:val="center"/>
        </w:trPr>
        <w:tc>
          <w:tcPr>
            <w:tcW w:w="2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信息内容</w:t>
            </w:r>
          </w:p>
        </w:tc>
        <w:tc>
          <w:tcPr>
            <w:tcW w:w="517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本年处理决定数量</w:t>
            </w:r>
          </w:p>
        </w:tc>
      </w:tr>
      <w:tr>
        <w:tblPrEx>
          <w:tblCellMar>
            <w:top w:w="0" w:type="dxa"/>
            <w:left w:w="0" w:type="dxa"/>
            <w:bottom w:w="0" w:type="dxa"/>
            <w:right w:w="0" w:type="dxa"/>
          </w:tblCellMar>
        </w:tblPrEx>
        <w:trPr>
          <w:trHeight w:val="690" w:hRule="exact"/>
          <w:jc w:val="center"/>
        </w:trPr>
        <w:tc>
          <w:tcPr>
            <w:tcW w:w="2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sz w:val="24"/>
                <w:szCs w:val="24"/>
              </w:rPr>
            </w:pPr>
            <w:r>
              <w:rPr>
                <w:rFonts w:hint="eastAsia" w:ascii="宋体" w:hAnsi="宋体" w:eastAsia="宋体" w:cs="宋体"/>
                <w:color w:val="000000"/>
                <w:kern w:val="0"/>
                <w:sz w:val="24"/>
                <w:szCs w:val="24"/>
                <w:lang w:val="en-US" w:eastAsia="zh-CN" w:bidi="ar"/>
              </w:rPr>
              <w:t>行政处罚</w:t>
            </w:r>
          </w:p>
        </w:tc>
        <w:tc>
          <w:tcPr>
            <w:tcW w:w="5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sz w:val="24"/>
                <w:szCs w:val="24"/>
                <w:lang w:val="en"/>
              </w:rPr>
            </w:pPr>
            <w:r>
              <w:rPr>
                <w:rFonts w:hint="default"/>
                <w:sz w:val="24"/>
                <w:szCs w:val="24"/>
                <w:highlight w:val="none"/>
                <w:lang w:val="en"/>
              </w:rPr>
              <w:t>112</w:t>
            </w:r>
          </w:p>
        </w:tc>
      </w:tr>
      <w:tr>
        <w:tblPrEx>
          <w:tblCellMar>
            <w:top w:w="0" w:type="dxa"/>
            <w:left w:w="0" w:type="dxa"/>
            <w:bottom w:w="0" w:type="dxa"/>
            <w:right w:w="0" w:type="dxa"/>
          </w:tblCellMar>
        </w:tblPrEx>
        <w:trPr>
          <w:trHeight w:val="685" w:hRule="exact"/>
          <w:jc w:val="center"/>
        </w:trPr>
        <w:tc>
          <w:tcPr>
            <w:tcW w:w="2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sz w:val="24"/>
                <w:szCs w:val="24"/>
              </w:rPr>
            </w:pPr>
            <w:r>
              <w:rPr>
                <w:rFonts w:hint="eastAsia" w:ascii="宋体" w:hAnsi="宋体" w:eastAsia="宋体" w:cs="宋体"/>
                <w:color w:val="000000"/>
                <w:kern w:val="0"/>
                <w:sz w:val="24"/>
                <w:szCs w:val="24"/>
                <w:lang w:val="en-US" w:eastAsia="zh-CN" w:bidi="ar"/>
              </w:rPr>
              <w:t>行政强制</w:t>
            </w:r>
          </w:p>
        </w:tc>
        <w:tc>
          <w:tcPr>
            <w:tcW w:w="51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80" w:afterAutospacing="0" w:line="560" w:lineRule="exact"/>
              <w:ind w:left="0" w:leftChars="0" w:right="0" w:rightChars="0" w:firstLine="0" w:firstLineChars="0"/>
              <w:jc w:val="center"/>
              <w:textAlignment w:val="center"/>
              <w:outlineLvl w:val="9"/>
              <w:rPr>
                <w:sz w:val="24"/>
                <w:szCs w:val="24"/>
              </w:rPr>
            </w:pPr>
            <w:r>
              <w:rPr>
                <w:rFonts w:hint="eastAsia" w:ascii="宋体" w:hAnsi="宋体" w:eastAsia="宋体" w:cs="宋体"/>
                <w:color w:val="000000"/>
                <w:kern w:val="0"/>
                <w:sz w:val="20"/>
                <w:szCs w:val="20"/>
              </w:rPr>
              <w:t>/</w:t>
            </w: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第二十条第（八）项</w:t>
            </w:r>
          </w:p>
        </w:tc>
      </w:tr>
      <w:tr>
        <w:tblPrEx>
          <w:tblCellMar>
            <w:top w:w="0" w:type="dxa"/>
            <w:left w:w="0" w:type="dxa"/>
            <w:bottom w:w="0" w:type="dxa"/>
            <w:right w:w="0" w:type="dxa"/>
          </w:tblCellMar>
        </w:tblPrEx>
        <w:trPr>
          <w:trHeight w:val="270" w:hRule="atLeast"/>
          <w:jc w:val="center"/>
        </w:trPr>
        <w:tc>
          <w:tcPr>
            <w:tcW w:w="2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信息内容</w:t>
            </w:r>
          </w:p>
        </w:tc>
        <w:tc>
          <w:tcPr>
            <w:tcW w:w="5170"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本年收费金额（单位：万元）</w:t>
            </w:r>
          </w:p>
        </w:tc>
      </w:tr>
      <w:tr>
        <w:tblPrEx>
          <w:tblCellMar>
            <w:top w:w="0" w:type="dxa"/>
            <w:left w:w="0" w:type="dxa"/>
            <w:bottom w:w="0" w:type="dxa"/>
            <w:right w:w="0" w:type="dxa"/>
          </w:tblCellMar>
        </w:tblPrEx>
        <w:trPr>
          <w:trHeight w:val="845" w:hRule="exact"/>
          <w:jc w:val="center"/>
        </w:trPr>
        <w:tc>
          <w:tcPr>
            <w:tcW w:w="2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sz w:val="24"/>
                <w:szCs w:val="24"/>
              </w:rPr>
            </w:pPr>
            <w:r>
              <w:rPr>
                <w:rFonts w:hint="eastAsia" w:ascii="宋体" w:hAnsi="宋体" w:eastAsia="宋体" w:cs="宋体"/>
                <w:color w:val="000000"/>
                <w:kern w:val="0"/>
                <w:sz w:val="24"/>
                <w:szCs w:val="24"/>
                <w:lang w:val="en-US" w:eastAsia="zh-CN" w:bidi="ar"/>
              </w:rPr>
              <w:t>行政事业性收费</w:t>
            </w:r>
          </w:p>
        </w:tc>
        <w:tc>
          <w:tcPr>
            <w:tcW w:w="5170"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0"/>
                <w:szCs w:val="20"/>
              </w:rPr>
              <w:t>/</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0"/>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lang w:eastAsia="zh-CN"/>
        </w:rPr>
        <w:t>三、</w:t>
      </w:r>
      <w:r>
        <w:rPr>
          <w:rFonts w:hint="eastAsia" w:ascii="黑体" w:hAnsi="黑体" w:eastAsia="黑体" w:cs="黑体"/>
          <w:b w:val="0"/>
          <w:bCs/>
          <w:i w:val="0"/>
          <w:caps w:val="0"/>
          <w:color w:val="333333"/>
          <w:spacing w:val="0"/>
          <w:sz w:val="32"/>
          <w:szCs w:val="32"/>
          <w:shd w:val="clear" w:fill="FFFFFF"/>
        </w:rPr>
        <w:t>收到和处理政府信息公开申请情况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jc w:val="both"/>
        <w:rPr>
          <w:rFonts w:hint="eastAsia" w:ascii="黑体" w:hAnsi="黑体" w:eastAsia="黑体" w:cs="黑体"/>
          <w:b w:val="0"/>
          <w:bCs/>
          <w:i w:val="0"/>
          <w:caps w:val="0"/>
          <w:color w:val="333333"/>
          <w:spacing w:val="0"/>
          <w:sz w:val="24"/>
          <w:szCs w:val="24"/>
          <w:shd w:val="clear" w:fill="FFFFFF"/>
        </w:rPr>
      </w:pP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18"/>
        <w:gridCol w:w="855"/>
        <w:gridCol w:w="2130"/>
        <w:gridCol w:w="825"/>
        <w:gridCol w:w="765"/>
        <w:gridCol w:w="765"/>
        <w:gridCol w:w="825"/>
        <w:gridCol w:w="990"/>
        <w:gridCol w:w="720"/>
        <w:gridCol w:w="5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603"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（本列数据的勾稽关系为：第一项加第二项之和，等于第三项加第四项之和）</w:t>
            </w:r>
          </w:p>
        </w:tc>
        <w:tc>
          <w:tcPr>
            <w:tcW w:w="5468"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0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自然人</w:t>
            </w:r>
          </w:p>
        </w:tc>
        <w:tc>
          <w:tcPr>
            <w:tcW w:w="40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法人或其他组织</w:t>
            </w:r>
          </w:p>
        </w:tc>
        <w:tc>
          <w:tcPr>
            <w:tcW w:w="57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0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商业企业</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科研机构</w:t>
            </w:r>
          </w:p>
        </w:tc>
        <w:tc>
          <w:tcPr>
            <w:tcW w:w="8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社会公益组织</w:t>
            </w:r>
          </w:p>
        </w:tc>
        <w:tc>
          <w:tcPr>
            <w:tcW w:w="9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法律服务机构</w:t>
            </w:r>
          </w:p>
        </w:tc>
        <w:tc>
          <w:tcPr>
            <w:tcW w:w="72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其他</w:t>
            </w:r>
          </w:p>
        </w:tc>
        <w:tc>
          <w:tcPr>
            <w:tcW w:w="57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0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一、本年新收政府信息公开申请数量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default" w:asciiTheme="minorEastAsia" w:hAnsiTheme="minorEastAsia" w:cstheme="minorEastAsia"/>
                <w:kern w:val="0"/>
                <w:sz w:val="24"/>
                <w:szCs w:val="24"/>
                <w:highlight w:val="none"/>
                <w:lang w:val="en"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default" w:asciiTheme="minorEastAsia" w:hAnsiTheme="minorEastAsia" w:cstheme="minorEastAsia"/>
                <w:kern w:val="0"/>
                <w:sz w:val="24"/>
                <w:szCs w:val="24"/>
                <w:highlight w:val="none"/>
                <w:lang w:val="en" w:eastAsia="zh-CN" w:bidi="ar"/>
              </w:rPr>
              <w:t>4</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eastAsia" w:asciiTheme="minorEastAsia" w:hAnsiTheme="minorEastAsia" w:cstheme="minorEastAsia"/>
                <w:kern w:val="0"/>
                <w:sz w:val="24"/>
                <w:szCs w:val="24"/>
                <w:highlight w:val="none"/>
                <w:lang w:val="en-US" w:eastAsia="zh-CN" w:bidi="ar"/>
              </w:rPr>
              <w:t> </w:t>
            </w:r>
            <w:r>
              <w:rPr>
                <w:rFonts w:hint="default" w:asciiTheme="minorEastAsia" w:hAnsiTheme="minorEastAsia" w:cstheme="minorEastAsia"/>
                <w:kern w:val="0"/>
                <w:sz w:val="24"/>
                <w:szCs w:val="24"/>
                <w:highlight w:val="none"/>
                <w:lang w:val="en"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0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二、上年结转政府信息公开申请数量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三、本年度办理结果</w:t>
            </w: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（一）予以公开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default" w:asciiTheme="minorEastAsia" w:hAnsiTheme="minorEastAsia" w:cstheme="minorEastAsia"/>
                <w:kern w:val="0"/>
                <w:sz w:val="24"/>
                <w:szCs w:val="24"/>
                <w:highlight w:val="none"/>
                <w:lang w:val="en"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57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default" w:asciiTheme="minorEastAsia" w:hAnsiTheme="minorEastAsia" w:cstheme="minorEastAsia"/>
                <w:kern w:val="0"/>
                <w:sz w:val="24"/>
                <w:szCs w:val="24"/>
                <w:highlight w:val="none"/>
                <w:lang w:val="en"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（二）部分公开（区分处理的，只计这一情形，不计其他情形）</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eastAsia" w:asciiTheme="minorEastAsia" w:hAnsiTheme="minorEastAsia" w:cstheme="minorEastAsia"/>
                <w:kern w:val="0"/>
                <w:sz w:val="24"/>
                <w:szCs w:val="24"/>
                <w:highlight w:val="none"/>
                <w:lang w:val="en-US" w:eastAsia="zh-CN" w:bidi="ar"/>
              </w:rPr>
              <w:t> </w:t>
            </w:r>
            <w:r>
              <w:rPr>
                <w:rFonts w:hint="eastAsia" w:ascii="Calibri" w:hAnsi="Calibri" w:cs="Calibri"/>
                <w:kern w:val="0"/>
                <w:sz w:val="20"/>
                <w:szCs w:val="20"/>
                <w:highlight w:val="none"/>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eastAsia" w:ascii="Calibri" w:hAnsi="Calibri" w:cs="Calibri"/>
                <w:kern w:val="0"/>
                <w:sz w:val="20"/>
                <w:szCs w:val="20"/>
                <w:highlight w:val="none"/>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Calibri" w:hAnsi="Calibri" w:cs="Calibri"/>
                <w:kern w:val="0"/>
                <w:sz w:val="20"/>
                <w:szCs w:val="20"/>
                <w:highlight w:val="none"/>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Calibri" w:hAnsi="Calibri" w:cs="Calibri"/>
                <w:kern w:val="0"/>
                <w:sz w:val="20"/>
                <w:szCs w:val="20"/>
                <w:highlight w:val="none"/>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Calibri" w:hAnsi="Calibri" w:cs="Calibri"/>
                <w:kern w:val="0"/>
                <w:sz w:val="20"/>
                <w:szCs w:val="20"/>
                <w:highlight w:val="none"/>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Calibri" w:hAnsi="Calibri" w:cs="Calibri"/>
                <w:kern w:val="0"/>
                <w:sz w:val="20"/>
                <w:szCs w:val="20"/>
                <w:highlight w:val="none"/>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eastAsia" w:ascii="Calibri" w:hAnsi="Calibri" w:cs="Calibri"/>
                <w:kern w:val="0"/>
                <w:sz w:val="20"/>
                <w:szCs w:val="20"/>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（三）不予公开</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1.属于国家秘密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2.其他法律行政法规禁止公开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3.危及“三安全一稳定”</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4.保护第三方合法权益</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5.属于三类内部事务信息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6.属于四类过程性信息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7.属于行政执法案卷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8.属于行政查询事项</w:t>
            </w:r>
          </w:p>
        </w:tc>
        <w:tc>
          <w:tcPr>
            <w:tcW w:w="82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restar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（四）无法提供</w:t>
            </w:r>
          </w:p>
        </w:tc>
        <w:tc>
          <w:tcPr>
            <w:tcW w:w="213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1.本机关不掌握相关政府信息</w:t>
            </w:r>
          </w:p>
        </w:tc>
        <w:tc>
          <w:tcPr>
            <w:tcW w:w="82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eastAsia" w:asciiTheme="minorEastAsia" w:hAnsiTheme="minorEastAsia" w:cstheme="minorEastAsia"/>
                <w:kern w:val="0"/>
                <w:sz w:val="24"/>
                <w:szCs w:val="24"/>
                <w:highlight w:val="none"/>
                <w:lang w:val="en-US" w:eastAsia="zh-CN" w:bidi="ar"/>
              </w:rPr>
              <w:t> </w:t>
            </w:r>
            <w:r>
              <w:rPr>
                <w:rFonts w:hint="default" w:asciiTheme="minorEastAsia" w:hAnsiTheme="minorEastAsia" w:cstheme="minorEastAsia"/>
                <w:kern w:val="0"/>
                <w:sz w:val="24"/>
                <w:szCs w:val="24"/>
                <w:highlight w:val="none"/>
                <w:lang w:val="en" w:eastAsia="zh-CN" w:bidi="ar"/>
              </w:rPr>
              <w:t>0</w:t>
            </w:r>
          </w:p>
        </w:tc>
        <w:tc>
          <w:tcPr>
            <w:tcW w:w="76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default" w:asciiTheme="minorEastAsia" w:hAnsiTheme="minorEastAsia" w:cstheme="minorEastAsia"/>
                <w:kern w:val="0"/>
                <w:sz w:val="24"/>
                <w:szCs w:val="24"/>
                <w:highlight w:val="none"/>
                <w:lang w:val="en" w:eastAsia="zh-CN" w:bidi="ar"/>
              </w:rPr>
              <w:t>2</w:t>
            </w:r>
          </w:p>
        </w:tc>
        <w:tc>
          <w:tcPr>
            <w:tcW w:w="76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82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99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72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578"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default" w:asciiTheme="minorEastAsia" w:hAnsiTheme="minorEastAsia" w:cstheme="minorEastAsia"/>
                <w:kern w:val="0"/>
                <w:sz w:val="24"/>
                <w:szCs w:val="24"/>
                <w:highlight w:val="none"/>
                <w:lang w:val="en"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2.没有现成信息需要另行制作</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3.补正后申请内容仍不明确</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（五）不予处理</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1.信访举报投诉类申请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2.重复申请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default" w:asciiTheme="minorEastAsia" w:hAnsiTheme="minorEastAsia" w:cstheme="minorEastAsia"/>
                <w:kern w:val="0"/>
                <w:sz w:val="24"/>
                <w:szCs w:val="24"/>
                <w:lang w:val="en" w:eastAsia="zh-CN" w:bidi="ar"/>
              </w:rPr>
              <w:t>0</w:t>
            </w:r>
            <w:r>
              <w:rPr>
                <w:rFonts w:hint="eastAsia" w:asciiTheme="minorEastAsia" w:hAnsiTheme="minorEastAsia" w:cstheme="minorEastAsia"/>
                <w:kern w:val="0"/>
                <w:sz w:val="24"/>
                <w:szCs w:val="24"/>
                <w:lang w:val="en-US" w:eastAsia="zh-CN" w:bidi="ar"/>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lang w:val="en" w:eastAsia="zh-CN" w:bidi="ar"/>
              </w:rPr>
            </w:pPr>
            <w:r>
              <w:rPr>
                <w:rFonts w:hint="default" w:asciiTheme="minorEastAsia" w:hAnsiTheme="minorEastAsia" w:cstheme="minorEastAsia"/>
                <w:kern w:val="0"/>
                <w:sz w:val="24"/>
                <w:szCs w:val="24"/>
                <w:lang w:val="en"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3.要求提供公开出版物</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4.无正当理由大量反复申请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5.要求行政机关确认或重新出具已获取信息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6" w:hRule="atLeast"/>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855"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（六）其他处理</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1.申请人无正当理由逾期不补正、行政机关不再处理其政府信息公开申请</w:t>
            </w:r>
          </w:p>
        </w:tc>
        <w:tc>
          <w:tcPr>
            <w:tcW w:w="825"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lang w:val="en" w:eastAsia="zh-CN" w:bidi="ar"/>
              </w:rPr>
            </w:pPr>
            <w:r>
              <w:rPr>
                <w:rFonts w:hint="eastAsia" w:asciiTheme="minorEastAsia" w:hAnsiTheme="minorEastAsia" w:cstheme="minorEastAsia"/>
                <w:kern w:val="0"/>
                <w:sz w:val="24"/>
                <w:szCs w:val="24"/>
                <w:lang w:val="en-US" w:eastAsia="zh-CN" w:bidi="ar"/>
              </w:rPr>
              <w:t> </w:t>
            </w:r>
            <w:r>
              <w:rPr>
                <w:rFonts w:hint="default" w:asciiTheme="minorEastAsia" w:hAnsiTheme="minorEastAsia" w:cstheme="minorEastAsia"/>
                <w:kern w:val="0"/>
                <w:sz w:val="24"/>
                <w:szCs w:val="24"/>
                <w:lang w:val="en" w:eastAsia="zh-CN" w:bidi="ar"/>
              </w:rPr>
              <w:t>0</w:t>
            </w:r>
          </w:p>
        </w:tc>
        <w:tc>
          <w:tcPr>
            <w:tcW w:w="765"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765"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825"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990"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720"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578"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lang w:val="en" w:eastAsia="zh-CN" w:bidi="ar"/>
              </w:rPr>
            </w:pPr>
            <w:r>
              <w:rPr>
                <w:rFonts w:hint="default" w:asciiTheme="minorEastAsia" w:hAnsiTheme="minorEastAsia" w:cstheme="minorEastAsia"/>
                <w:kern w:val="0"/>
                <w:sz w:val="24"/>
                <w:szCs w:val="24"/>
                <w:lang w:val="en"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6" w:hRule="atLeast"/>
          <w:jc w:val="center"/>
        </w:trPr>
        <w:tc>
          <w:tcPr>
            <w:tcW w:w="618"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pPr>
          </w:p>
        </w:tc>
        <w:tc>
          <w:tcPr>
            <w:tcW w:w="855" w:type="dxa"/>
            <w:vMerge w:val="continue"/>
            <w:tcBorders>
              <w:left w:val="nil"/>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2.申请人逾期未按收费标准要求缴纳费用、行政机关不再处理其政府信息公开申请</w:t>
            </w:r>
          </w:p>
        </w:tc>
        <w:tc>
          <w:tcPr>
            <w:tcW w:w="825"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p>
        </w:tc>
        <w:tc>
          <w:tcPr>
            <w:tcW w:w="765"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p>
        </w:tc>
        <w:tc>
          <w:tcPr>
            <w:tcW w:w="765"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p>
        </w:tc>
        <w:tc>
          <w:tcPr>
            <w:tcW w:w="825"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p>
        </w:tc>
        <w:tc>
          <w:tcPr>
            <w:tcW w:w="990"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p>
        </w:tc>
        <w:tc>
          <w:tcPr>
            <w:tcW w:w="720"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p>
        </w:tc>
        <w:tc>
          <w:tcPr>
            <w:tcW w:w="578"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6" w:hRule="atLeast"/>
          <w:jc w:val="center"/>
        </w:trPr>
        <w:tc>
          <w:tcPr>
            <w:tcW w:w="618"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pPr>
          </w:p>
        </w:tc>
        <w:tc>
          <w:tcPr>
            <w:tcW w:w="855"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default"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3.其他</w:t>
            </w:r>
          </w:p>
        </w:tc>
        <w:tc>
          <w:tcPr>
            <w:tcW w:w="825" w:type="dxa"/>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lang w:val="en" w:eastAsia="zh-CN" w:bidi="ar"/>
              </w:rPr>
            </w:pPr>
            <w:r>
              <w:rPr>
                <w:rFonts w:hint="default" w:asciiTheme="minorEastAsia" w:hAnsiTheme="minorEastAsia" w:cstheme="minorEastAsia"/>
                <w:kern w:val="0"/>
                <w:sz w:val="24"/>
                <w:szCs w:val="24"/>
                <w:lang w:val="en" w:eastAsia="zh-CN" w:bidi="ar"/>
              </w:rPr>
              <w:t>0</w:t>
            </w:r>
          </w:p>
        </w:tc>
        <w:tc>
          <w:tcPr>
            <w:tcW w:w="765" w:type="dxa"/>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765" w:type="dxa"/>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825" w:type="dxa"/>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990" w:type="dxa"/>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720" w:type="dxa"/>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0</w:t>
            </w:r>
          </w:p>
        </w:tc>
        <w:tc>
          <w:tcPr>
            <w:tcW w:w="578" w:type="dxa"/>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4"/>
                <w:szCs w:val="24"/>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（七）总计</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eastAsia" w:asciiTheme="minorEastAsia" w:hAnsiTheme="minorEastAsia" w:cstheme="minorEastAsia"/>
                <w:kern w:val="0"/>
                <w:sz w:val="24"/>
                <w:szCs w:val="24"/>
                <w:highlight w:val="none"/>
                <w:lang w:val="en-US" w:eastAsia="zh-CN" w:bidi="ar"/>
              </w:rPr>
              <w:t> </w:t>
            </w:r>
            <w:r>
              <w:rPr>
                <w:rFonts w:hint="default" w:asciiTheme="minorEastAsia" w:hAnsiTheme="minorEastAsia" w:cstheme="minorEastAsia"/>
                <w:kern w:val="0"/>
                <w:sz w:val="24"/>
                <w:szCs w:val="24"/>
                <w:highlight w:val="none"/>
                <w:lang w:val="en"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eastAsia" w:asciiTheme="minorEastAsia" w:hAnsiTheme="minorEastAsia" w:cstheme="minorEastAsia"/>
                <w:kern w:val="0"/>
                <w:sz w:val="24"/>
                <w:szCs w:val="24"/>
                <w:highlight w:val="none"/>
                <w:lang w:val="en-US" w:eastAsia="zh-CN" w:bidi="ar"/>
              </w:rPr>
              <w:t> 2</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eastAsia" w:asciiTheme="minorEastAsia" w:hAnsi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0</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rFonts w:hint="default" w:asciiTheme="minorEastAsia" w:hAnsiTheme="minorEastAsia" w:cstheme="minorEastAsia"/>
                <w:kern w:val="0"/>
                <w:sz w:val="24"/>
                <w:szCs w:val="24"/>
                <w:highlight w:val="none"/>
                <w:lang w:val="en" w:eastAsia="zh-CN" w:bidi="ar"/>
              </w:rPr>
            </w:pPr>
            <w:r>
              <w:rPr>
                <w:rFonts w:hint="eastAsia" w:asciiTheme="minorEastAsia" w:hAnsiTheme="minorEastAsia" w:cstheme="minorEastAsia"/>
                <w:kern w:val="0"/>
                <w:sz w:val="24"/>
                <w:szCs w:val="24"/>
                <w:highlight w:val="none"/>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0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四、结转下年度继续办理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heme="minorEastAsia" w:hAnsiTheme="minorEastAsia" w:eastAsiaTheme="minorEastAsia" w:cstheme="minorEastAsia"/>
                <w:kern w:val="2"/>
                <w:sz w:val="24"/>
                <w:szCs w:val="24"/>
                <w:highlight w:val="none"/>
                <w:lang w:val="en" w:eastAsia="zh-CN" w:bidi="ar-SA"/>
              </w:rPr>
            </w:pPr>
            <w:r>
              <w:rPr>
                <w:rFonts w:hint="default" w:asciiTheme="minorEastAsia" w:hAnsiTheme="minorEastAsia" w:cstheme="minorEastAsia"/>
                <w:kern w:val="2"/>
                <w:sz w:val="24"/>
                <w:szCs w:val="24"/>
                <w:highlight w:val="none"/>
                <w:lang w:val="en" w:eastAsia="zh-CN" w:bidi="ar-SA"/>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heme="minorEastAsia" w:hAnsiTheme="minorEastAsia" w:eastAsiaTheme="minorEastAsia" w:cstheme="minorEastAsia"/>
                <w:kern w:val="2"/>
                <w:sz w:val="24"/>
                <w:szCs w:val="24"/>
                <w:highlight w:val="none"/>
                <w:lang w:val="en" w:eastAsia="zh-CN" w:bidi="ar-SA"/>
              </w:rPr>
            </w:pPr>
            <w:r>
              <w:rPr>
                <w:rFonts w:hint="default" w:asciiTheme="minorEastAsia" w:hAnsiTheme="minorEastAsia" w:cstheme="minorEastAsia"/>
                <w:kern w:val="2"/>
                <w:sz w:val="24"/>
                <w:szCs w:val="24"/>
                <w:highlight w:val="none"/>
                <w:lang w:val="en" w:eastAsia="zh-CN" w:bidi="ar-SA"/>
              </w:rPr>
              <w:t>2</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heme="minorEastAsia" w:hAnsiTheme="minorEastAsia" w:eastAsiaTheme="minorEastAsia" w:cstheme="minorEastAsia"/>
                <w:kern w:val="2"/>
                <w:sz w:val="24"/>
                <w:szCs w:val="24"/>
                <w:highlight w:val="none"/>
                <w:lang w:val="en" w:eastAsia="zh-CN" w:bidi="ar-SA"/>
              </w:rPr>
            </w:pPr>
            <w:r>
              <w:rPr>
                <w:rFonts w:hint="default" w:asciiTheme="minorEastAsia" w:hAnsiTheme="minorEastAsia" w:cstheme="minorEastAsia"/>
                <w:kern w:val="2"/>
                <w:sz w:val="24"/>
                <w:szCs w:val="24"/>
                <w:highlight w:val="none"/>
                <w:lang w:val="en" w:eastAsia="zh-CN" w:bidi="ar-SA"/>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heme="minorEastAsia" w:hAnsiTheme="minorEastAsia" w:eastAsiaTheme="minorEastAsia" w:cstheme="minorEastAsia"/>
                <w:kern w:val="2"/>
                <w:sz w:val="24"/>
                <w:szCs w:val="24"/>
                <w:highlight w:val="none"/>
                <w:lang w:val="en" w:eastAsia="zh-CN" w:bidi="ar-SA"/>
              </w:rPr>
            </w:pPr>
            <w:r>
              <w:rPr>
                <w:rFonts w:hint="default" w:asciiTheme="minorEastAsia" w:hAnsiTheme="minorEastAsia" w:cstheme="minorEastAsia"/>
                <w:kern w:val="2"/>
                <w:sz w:val="24"/>
                <w:szCs w:val="24"/>
                <w:highlight w:val="none"/>
                <w:lang w:val="en" w:eastAsia="zh-CN" w:bidi="ar-SA"/>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heme="minorEastAsia" w:hAnsiTheme="minorEastAsia" w:eastAsiaTheme="minorEastAsia" w:cstheme="minorEastAsia"/>
                <w:kern w:val="2"/>
                <w:sz w:val="24"/>
                <w:szCs w:val="24"/>
                <w:highlight w:val="none"/>
                <w:lang w:val="en" w:eastAsia="zh-CN" w:bidi="ar-SA"/>
              </w:rPr>
            </w:pPr>
            <w:r>
              <w:rPr>
                <w:rFonts w:hint="default" w:asciiTheme="minorEastAsia" w:hAnsiTheme="minorEastAsia" w:cstheme="minorEastAsia"/>
                <w:kern w:val="2"/>
                <w:sz w:val="24"/>
                <w:szCs w:val="24"/>
                <w:highlight w:val="none"/>
                <w:lang w:val="en" w:eastAsia="zh-CN" w:bidi="ar-SA"/>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heme="minorEastAsia" w:hAnsiTheme="minorEastAsia" w:eastAsiaTheme="minorEastAsia" w:cstheme="minorEastAsia"/>
                <w:kern w:val="2"/>
                <w:sz w:val="24"/>
                <w:szCs w:val="24"/>
                <w:highlight w:val="none"/>
                <w:lang w:val="en" w:eastAsia="zh-CN" w:bidi="ar-SA"/>
              </w:rPr>
            </w:pPr>
            <w:r>
              <w:rPr>
                <w:rFonts w:hint="default" w:asciiTheme="minorEastAsia" w:hAnsiTheme="minorEastAsia" w:cstheme="minorEastAsia"/>
                <w:kern w:val="2"/>
                <w:sz w:val="24"/>
                <w:szCs w:val="24"/>
                <w:highlight w:val="none"/>
                <w:lang w:val="en" w:eastAsia="zh-CN" w:bidi="ar-SA"/>
              </w:rPr>
              <w:t>0</w:t>
            </w:r>
          </w:p>
        </w:tc>
        <w:tc>
          <w:tcPr>
            <w:tcW w:w="5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heme="minorEastAsia" w:hAnsiTheme="minorEastAsia" w:eastAsiaTheme="minorEastAsia" w:cstheme="minorEastAsia"/>
                <w:kern w:val="2"/>
                <w:sz w:val="24"/>
                <w:szCs w:val="24"/>
                <w:highlight w:val="none"/>
                <w:lang w:val="en" w:eastAsia="zh-CN" w:bidi="ar-SA"/>
              </w:rPr>
            </w:pPr>
            <w:r>
              <w:rPr>
                <w:rFonts w:hint="default" w:asciiTheme="minorEastAsia" w:hAnsiTheme="minorEastAsia" w:cstheme="minorEastAsia"/>
                <w:kern w:val="2"/>
                <w:sz w:val="24"/>
                <w:szCs w:val="24"/>
                <w:highlight w:val="none"/>
                <w:lang w:val="en" w:eastAsia="zh-CN" w:bidi="ar-SA"/>
              </w:rPr>
              <w:t>2</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333333"/>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0"/>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四、政府信息公开行政复议、行政诉讼情况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333333"/>
          <w:spacing w:val="0"/>
          <w:sz w:val="24"/>
          <w:szCs w:val="24"/>
        </w:rPr>
      </w:pP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结果维持</w:t>
            </w:r>
          </w:p>
        </w:tc>
        <w:tc>
          <w:tcPr>
            <w:tcW w:w="604" w:type="dxa"/>
            <w:vMerge w:val="restar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结果纠正</w:t>
            </w:r>
          </w:p>
        </w:tc>
        <w:tc>
          <w:tcPr>
            <w:tcW w:w="604" w:type="dxa"/>
            <w:vMerge w:val="restar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其他结果</w:t>
            </w:r>
          </w:p>
        </w:tc>
        <w:tc>
          <w:tcPr>
            <w:tcW w:w="604" w:type="dxa"/>
            <w:vMerge w:val="restar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尚未审结</w:t>
            </w:r>
          </w:p>
        </w:tc>
        <w:tc>
          <w:tcPr>
            <w:tcW w:w="658" w:type="dxa"/>
            <w:vMerge w:val="restar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总计</w:t>
            </w:r>
          </w:p>
        </w:tc>
        <w:tc>
          <w:tcPr>
            <w:tcW w:w="2970" w:type="dxa"/>
            <w:gridSpan w:val="5"/>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未经复议直接起诉</w:t>
            </w:r>
          </w:p>
        </w:tc>
        <w:tc>
          <w:tcPr>
            <w:tcW w:w="3027" w:type="dxa"/>
            <w:gridSpan w:val="5"/>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04" w:type="dxa"/>
            <w:vMerge w:val="continue"/>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04" w:type="dxa"/>
            <w:vMerge w:val="continue"/>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04" w:type="dxa"/>
            <w:vMerge w:val="continue"/>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58" w:type="dxa"/>
            <w:vMerge w:val="continue"/>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550"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结果维持</w:t>
            </w:r>
          </w:p>
        </w:tc>
        <w:tc>
          <w:tcPr>
            <w:tcW w:w="605" w:type="dxa"/>
            <w:tcBorders>
              <w:top w:val="nil"/>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结果纠正</w:t>
            </w:r>
          </w:p>
        </w:tc>
        <w:tc>
          <w:tcPr>
            <w:tcW w:w="605" w:type="dxa"/>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kern w:val="0"/>
                <w:sz w:val="24"/>
                <w:szCs w:val="24"/>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rPr>
                <w:sz w:val="24"/>
                <w:szCs w:val="24"/>
              </w:rPr>
            </w:pPr>
            <w:r>
              <w:rPr>
                <w:rFonts w:hint="eastAsia" w:ascii="宋体" w:hAnsi="宋体" w:eastAsia="宋体" w:cs="宋体"/>
                <w:color w:val="000000"/>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658"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55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60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Calibri" w:hAnsi="Calibri" w:cs="Calibri"/>
                <w:kern w:val="0"/>
                <w:sz w:val="20"/>
                <w:szCs w:val="20"/>
              </w:rPr>
              <w:t>/</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sz w:val="24"/>
                <w:szCs w:val="24"/>
              </w:rPr>
            </w:pPr>
            <w:r>
              <w:rPr>
                <w:rFonts w:hint="eastAsia" w:ascii="Calibri" w:hAnsi="Calibri" w:cs="Calibri"/>
                <w:kern w:val="0"/>
                <w:sz w:val="20"/>
                <w:szCs w:val="20"/>
              </w:rPr>
              <w:t>/</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sz w:val="24"/>
                <w:szCs w:val="24"/>
              </w:rPr>
            </w:pPr>
            <w:r>
              <w:rPr>
                <w:rFonts w:hint="eastAsia" w:ascii="Calibri" w:hAnsi="Calibri" w:cs="Calibri"/>
                <w:kern w:val="0"/>
                <w:sz w:val="20"/>
                <w:szCs w:val="20"/>
              </w:rPr>
              <w:t>/</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sz w:val="24"/>
                <w:szCs w:val="24"/>
                <w:lang w:val="en"/>
              </w:rPr>
            </w:pPr>
            <w:r>
              <w:rPr>
                <w:rFonts w:hint="eastAsia" w:ascii="Calibri" w:hAnsi="Calibri" w:cs="Calibri"/>
                <w:kern w:val="0"/>
                <w:sz w:val="20"/>
                <w:szCs w:val="20"/>
              </w:rPr>
              <w:t>/</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sz w:val="24"/>
                <w:szCs w:val="24"/>
              </w:rPr>
            </w:pPr>
            <w:r>
              <w:rPr>
                <w:rFonts w:hint="eastAsia" w:ascii="Calibri" w:hAnsi="Calibri" w:cs="Calibri"/>
                <w:kern w:val="0"/>
                <w:sz w:val="20"/>
                <w:szCs w:val="20"/>
              </w:rPr>
              <w:t>/</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sz w:val="24"/>
                <w:szCs w:val="24"/>
              </w:rPr>
            </w:pPr>
            <w:r>
              <w:rPr>
                <w:rFonts w:hint="eastAsia" w:ascii="Calibri" w:hAnsi="Calibri" w:cs="Calibri"/>
                <w:kern w:val="0"/>
                <w:sz w:val="20"/>
                <w:szCs w:val="20"/>
              </w:rPr>
              <w:t>/</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sz w:val="24"/>
                <w:szCs w:val="24"/>
              </w:rPr>
            </w:pPr>
            <w:r>
              <w:rPr>
                <w:rFonts w:hint="eastAsia" w:ascii="Calibri" w:hAnsi="Calibri" w:cs="Calibri"/>
                <w:kern w:val="0"/>
                <w:sz w:val="20"/>
                <w:szCs w:val="20"/>
              </w:rPr>
              <w:t>/</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sz w:val="24"/>
                <w:szCs w:val="24"/>
              </w:rPr>
            </w:pPr>
            <w:r>
              <w:rPr>
                <w:rFonts w:hint="eastAsia" w:ascii="Calibri" w:hAnsi="Calibri" w:cs="Calibri"/>
                <w:kern w:val="0"/>
                <w:sz w:val="20"/>
                <w:szCs w:val="20"/>
              </w:rPr>
              <w:t>/</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rPr>
                <w:rFonts w:hint="eastAsia" w:ascii="宋体"/>
                <w:sz w:val="24"/>
                <w:szCs w:val="24"/>
              </w:rPr>
            </w:pPr>
            <w:r>
              <w:rPr>
                <w:rFonts w:hint="eastAsia" w:ascii="Calibri" w:hAnsi="Calibri" w:cs="Calibri"/>
                <w:kern w:val="0"/>
                <w:sz w:val="20"/>
                <w:szCs w:val="20"/>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caps w:val="0"/>
          <w:color w:val="333333"/>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0"/>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五、存在的主要问题及改进措施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（一）存在的主要问题</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2023年，我街道政府信息公开工作取得一定成绩，但也存在一些问题和不足，重点领域政府信息公开的深度和广度不够，公众对政府信息的差异化需求有待深入，基层政府信息公开工作的公众参与度有待提升。</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（二）改进措施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val="en-US" w:eastAsia="zh-CN"/>
        </w:rPr>
      </w:pPr>
      <w:r>
        <w:rPr>
          <w:rFonts w:hint="default" w:ascii="仿宋_GB2312" w:hAnsi="仿宋" w:eastAsia="仿宋_GB2312"/>
          <w:sz w:val="32"/>
          <w:szCs w:val="32"/>
          <w:lang w:val="en" w:eastAsia="zh-CN"/>
        </w:rPr>
        <w:t>2024</w:t>
      </w:r>
      <w:r>
        <w:rPr>
          <w:rFonts w:hint="eastAsia" w:ascii="仿宋_GB2312" w:hAnsi="仿宋" w:eastAsia="仿宋_GB2312"/>
          <w:sz w:val="32"/>
          <w:szCs w:val="32"/>
          <w:lang w:val="en-US" w:eastAsia="zh-CN"/>
        </w:rPr>
        <w:t>年我街道将重点抓好以下几项工作：一是继续深入学习政府信息公开条例及相关规定，准确把握文件的精神实质，认真落实各项工作。二是加强信息发布的审核把关。三是进一步加大信息公开力度，完善信息公开的内容，提升重点领域信息公开的深度和广度，提供更多群众关心的事项作为信息公开的主要内容，满足公众对政府信息差异化需求，提升公众参与度。</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0"/>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lang w:eastAsia="zh-CN"/>
        </w:rPr>
        <w:t>六、</w:t>
      </w:r>
      <w:r>
        <w:rPr>
          <w:rFonts w:hint="eastAsia" w:ascii="黑体" w:hAnsi="黑体" w:eastAsia="黑体" w:cs="黑体"/>
          <w:b w:val="0"/>
          <w:bCs/>
          <w:i w:val="0"/>
          <w:caps w:val="0"/>
          <w:color w:val="333333"/>
          <w:spacing w:val="0"/>
          <w:sz w:val="32"/>
          <w:szCs w:val="32"/>
          <w:shd w:val="clear" w:fill="FFFFFF"/>
        </w:rPr>
        <w:t>其他需要报告的事项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无。</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5"/>
        <w:jc w:val="right"/>
        <w:rPr>
          <w:rFonts w:hint="eastAsia" w:ascii="仿宋_GB2312" w:hAnsi="仿宋" w:eastAsia="仿宋_GB2312"/>
          <w:sz w:val="32"/>
          <w:szCs w:val="32"/>
        </w:rPr>
      </w:pP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5"/>
        <w:jc w:val="right"/>
        <w:rPr>
          <w:rFonts w:ascii="仿宋_GB2312" w:hAnsi="仿宋" w:eastAsia="仿宋_GB2312"/>
          <w:sz w:val="32"/>
          <w:szCs w:val="32"/>
        </w:rPr>
      </w:pPr>
      <w:r>
        <w:rPr>
          <w:rFonts w:hint="eastAsia" w:ascii="仿宋_GB2312" w:hAnsi="仿宋" w:eastAsia="仿宋_GB2312"/>
          <w:sz w:val="32"/>
          <w:szCs w:val="32"/>
        </w:rPr>
        <w:t>龙华区观湖街道办事处</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40" w:firstLine="645"/>
        <w:jc w:val="right"/>
        <w:rPr>
          <w:rFonts w:ascii="仿宋_GB2312" w:hAnsi="仿宋" w:eastAsia="仿宋_GB2312"/>
          <w:sz w:val="32"/>
          <w:szCs w:val="32"/>
        </w:rPr>
      </w:pPr>
      <w:r>
        <w:rPr>
          <w:rFonts w:hint="eastAsia" w:ascii="仿宋_GB2312" w:hAnsi="仿宋" w:eastAsia="仿宋_GB2312"/>
          <w:sz w:val="32"/>
          <w:szCs w:val="32"/>
        </w:rPr>
        <w:t>202</w:t>
      </w:r>
      <w:r>
        <w:rPr>
          <w:rFonts w:hint="default" w:ascii="仿宋_GB2312" w:hAnsi="仿宋" w:eastAsia="仿宋_GB2312"/>
          <w:sz w:val="32"/>
          <w:szCs w:val="32"/>
          <w:lang w:val="en"/>
        </w:rPr>
        <w:t>4</w:t>
      </w:r>
      <w:r>
        <w:rPr>
          <w:rFonts w:hint="eastAsia" w:ascii="仿宋_GB2312" w:hAnsi="仿宋" w:eastAsia="仿宋_GB2312"/>
          <w:sz w:val="32"/>
          <w:szCs w:val="32"/>
        </w:rPr>
        <w:t>年1月</w:t>
      </w:r>
      <w:r>
        <w:rPr>
          <w:rFonts w:hint="eastAsia" w:ascii="仿宋_GB2312" w:hAnsi="仿宋" w:eastAsia="仿宋_GB2312"/>
          <w:sz w:val="32"/>
          <w:szCs w:val="32"/>
          <w:lang w:val="en-US" w:eastAsia="zh-CN"/>
        </w:rPr>
        <w:t>1</w:t>
      </w:r>
      <w:r>
        <w:rPr>
          <w:rFonts w:hint="default" w:ascii="仿宋_GB2312" w:hAnsi="仿宋" w:eastAsia="仿宋_GB2312"/>
          <w:sz w:val="32"/>
          <w:szCs w:val="32"/>
          <w:lang w:val="en" w:eastAsia="zh-CN"/>
        </w:rPr>
        <w:t>2</w:t>
      </w:r>
      <w:r>
        <w:rPr>
          <w:rFonts w:hint="eastAsia" w:ascii="仿宋_GB2312" w:hAnsi="仿宋" w:eastAsia="仿宋_GB2312"/>
          <w:sz w:val="32"/>
          <w:szCs w:val="32"/>
        </w:rPr>
        <w:t>日</w:t>
      </w:r>
    </w:p>
    <w:p>
      <w:pPr>
        <w:keepNext w:val="0"/>
        <w:keepLines w:val="0"/>
        <w:pageBreakBefore w:val="0"/>
        <w:kinsoku/>
        <w:wordWrap/>
        <w:overflowPunct/>
        <w:topLinePunct w:val="0"/>
        <w:autoSpaceDE/>
        <w:autoSpaceDN/>
        <w:bidi w:val="0"/>
        <w:adjustRightInd/>
        <w:snapToGrid/>
        <w:spacing w:line="560" w:lineRule="exact"/>
        <w:rPr>
          <w:rFonts w:hint="eastAsia"/>
          <w:sz w:val="32"/>
          <w:szCs w:val="32"/>
          <w:lang w:val="en" w:eastAsia="zh-CN"/>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6DCC65"/>
    <w:rsid w:val="1A88249C"/>
    <w:rsid w:val="1FBEF0A8"/>
    <w:rsid w:val="235A331E"/>
    <w:rsid w:val="2D7E3541"/>
    <w:rsid w:val="2E6B73DE"/>
    <w:rsid w:val="2FC239CF"/>
    <w:rsid w:val="34DF3B07"/>
    <w:rsid w:val="3977ADAA"/>
    <w:rsid w:val="3ABF7200"/>
    <w:rsid w:val="3B7AC1B8"/>
    <w:rsid w:val="3BFF0CAD"/>
    <w:rsid w:val="3CFDEC62"/>
    <w:rsid w:val="3DA76591"/>
    <w:rsid w:val="3EF54F12"/>
    <w:rsid w:val="3F22F32C"/>
    <w:rsid w:val="3F7D4710"/>
    <w:rsid w:val="3FB7AA55"/>
    <w:rsid w:val="3FBEFF36"/>
    <w:rsid w:val="3FFC82F1"/>
    <w:rsid w:val="466633A9"/>
    <w:rsid w:val="47DB6628"/>
    <w:rsid w:val="48F738BE"/>
    <w:rsid w:val="4D095A5F"/>
    <w:rsid w:val="559DC878"/>
    <w:rsid w:val="597708F8"/>
    <w:rsid w:val="59D8479B"/>
    <w:rsid w:val="5BFEAC14"/>
    <w:rsid w:val="5FBF7E8E"/>
    <w:rsid w:val="5FED8008"/>
    <w:rsid w:val="62DB9633"/>
    <w:rsid w:val="69203C34"/>
    <w:rsid w:val="6B7F0EA1"/>
    <w:rsid w:val="6D768408"/>
    <w:rsid w:val="6DEF9524"/>
    <w:rsid w:val="6DFFFBFB"/>
    <w:rsid w:val="6FDDCFA4"/>
    <w:rsid w:val="717ABD95"/>
    <w:rsid w:val="72779D9F"/>
    <w:rsid w:val="7571D92F"/>
    <w:rsid w:val="75DFAAE1"/>
    <w:rsid w:val="76BF2FA4"/>
    <w:rsid w:val="76F60626"/>
    <w:rsid w:val="76FCDF44"/>
    <w:rsid w:val="77EB3C88"/>
    <w:rsid w:val="77F4A80D"/>
    <w:rsid w:val="77F9005F"/>
    <w:rsid w:val="77FD75F2"/>
    <w:rsid w:val="79FFFEFB"/>
    <w:rsid w:val="7AFD8525"/>
    <w:rsid w:val="7B2A3FE7"/>
    <w:rsid w:val="7BBB2ABF"/>
    <w:rsid w:val="7BD7CA08"/>
    <w:rsid w:val="7BF2A60A"/>
    <w:rsid w:val="7BF3BBCD"/>
    <w:rsid w:val="7BF6B293"/>
    <w:rsid w:val="7CF5873F"/>
    <w:rsid w:val="7D5D2B4B"/>
    <w:rsid w:val="7DA90119"/>
    <w:rsid w:val="7F7BAD09"/>
    <w:rsid w:val="7FA72C11"/>
    <w:rsid w:val="7FBF7B25"/>
    <w:rsid w:val="7FEB0786"/>
    <w:rsid w:val="7FEDFBE4"/>
    <w:rsid w:val="7FEF2DD0"/>
    <w:rsid w:val="975F63B4"/>
    <w:rsid w:val="9F948F63"/>
    <w:rsid w:val="9FBFAC7C"/>
    <w:rsid w:val="A9CA3AEE"/>
    <w:rsid w:val="A9FF8AE5"/>
    <w:rsid w:val="B4F71C9F"/>
    <w:rsid w:val="B7E3291A"/>
    <w:rsid w:val="B7EF1524"/>
    <w:rsid w:val="B7FF8B83"/>
    <w:rsid w:val="B9DA3A97"/>
    <w:rsid w:val="BD5C7D24"/>
    <w:rsid w:val="BDFF5542"/>
    <w:rsid w:val="BDFFA9AE"/>
    <w:rsid w:val="BF3B22DD"/>
    <w:rsid w:val="BFBFD18B"/>
    <w:rsid w:val="BFEB1AE0"/>
    <w:rsid w:val="BFF63F2B"/>
    <w:rsid w:val="CE7B4B0D"/>
    <w:rsid w:val="CEBFED36"/>
    <w:rsid w:val="CFDDC440"/>
    <w:rsid w:val="CFF9BD14"/>
    <w:rsid w:val="D0FFB766"/>
    <w:rsid w:val="D21F056F"/>
    <w:rsid w:val="D76D903A"/>
    <w:rsid w:val="DB6DCC65"/>
    <w:rsid w:val="DBFF4AEB"/>
    <w:rsid w:val="DC7631DA"/>
    <w:rsid w:val="DEAA3D18"/>
    <w:rsid w:val="DF0B213F"/>
    <w:rsid w:val="DFFD19F0"/>
    <w:rsid w:val="E4EAD63B"/>
    <w:rsid w:val="E5FB26A8"/>
    <w:rsid w:val="E7EBFB5B"/>
    <w:rsid w:val="E9F41CA3"/>
    <w:rsid w:val="EF6929AE"/>
    <w:rsid w:val="EFFED08E"/>
    <w:rsid w:val="F2DF5B9A"/>
    <w:rsid w:val="F3FBE376"/>
    <w:rsid w:val="F6DB80D0"/>
    <w:rsid w:val="F6FD461A"/>
    <w:rsid w:val="F7AFF634"/>
    <w:rsid w:val="FACE15D1"/>
    <w:rsid w:val="FB731FE9"/>
    <w:rsid w:val="FBFDD8A2"/>
    <w:rsid w:val="FDD6D054"/>
    <w:rsid w:val="FDF25F39"/>
    <w:rsid w:val="FE7E1087"/>
    <w:rsid w:val="FEFFC3B5"/>
    <w:rsid w:val="FF12CFE4"/>
    <w:rsid w:val="FF7CF283"/>
    <w:rsid w:val="FF7FAF23"/>
    <w:rsid w:val="FFDE1F7E"/>
    <w:rsid w:val="FFFB0250"/>
    <w:rsid w:val="FFFE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2022-01-12T11:28:00Z</dcterms:created>
  <dc:creator>linguohao</dc:creator>
  <cp:lastModifiedBy>zzh</cp:lastModifiedBy>
  <dcterms:modified xsi:type="dcterms:W3CDTF">2024-01-12T10:03:47Z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A2F0F53190A745FBB6ED43C073F55762</vt:lpwstr>
  </property>
</Properties>
</file>