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rPr>
          <w:rFonts w:ascii="方正小标宋简体" w:hAnsi="方正小标宋简体" w:eastAsia="方正小标宋简体" w:cs="方正小标宋简体"/>
          <w:sz w:val="44"/>
          <w:szCs w:val="44"/>
          <w:highlight w:val="none"/>
          <w:shd w:val="clear" w:color="auto" w:fill="auto"/>
        </w:rPr>
      </w:pPr>
      <w:r>
        <w:rPr>
          <w:rFonts w:hint="eastAsia" w:ascii="方正小标宋简体" w:hAnsi="方正小标宋简体" w:eastAsia="方正小标宋简体" w:cs="方正小标宋简体"/>
          <w:sz w:val="44"/>
          <w:szCs w:val="44"/>
          <w:highlight w:val="none"/>
          <w:shd w:val="clear" w:color="auto" w:fill="auto"/>
        </w:rPr>
        <w:t>龙华区打造深圳北软件产业基地三年</w:t>
      </w:r>
    </w:p>
    <w:p>
      <w:pPr>
        <w:spacing w:line="560" w:lineRule="exact"/>
        <w:ind w:firstLine="0" w:firstLineChars="0"/>
        <w:jc w:val="center"/>
        <w:rPr>
          <w:rFonts w:ascii="方正小标宋简体" w:hAnsi="方正小标宋简体" w:eastAsia="方正小标宋简体" w:cs="方正小标宋简体"/>
          <w:sz w:val="44"/>
          <w:szCs w:val="44"/>
          <w:highlight w:val="none"/>
          <w:shd w:val="clear" w:color="auto" w:fill="auto"/>
        </w:rPr>
      </w:pPr>
      <w:r>
        <w:rPr>
          <w:rFonts w:hint="eastAsia" w:ascii="方正小标宋简体" w:hAnsi="方正小标宋简体" w:eastAsia="方正小标宋简体" w:cs="方正小标宋简体"/>
          <w:sz w:val="44"/>
          <w:szCs w:val="44"/>
          <w:highlight w:val="none"/>
          <w:shd w:val="clear" w:color="auto" w:fill="auto"/>
        </w:rPr>
        <w:t>实施方案（2024</w:t>
      </w:r>
      <w:r>
        <w:rPr>
          <w:rFonts w:hint="eastAsia" w:ascii="方正小标宋简体" w:hAnsi="方正小标宋简体" w:eastAsia="方正小标宋简体" w:cs="方正小标宋简体"/>
          <w:sz w:val="44"/>
          <w:szCs w:val="44"/>
          <w:highlight w:val="none"/>
          <w:shd w:val="clear" w:color="auto" w:fill="auto"/>
          <w:lang w:eastAsia="zh-CN"/>
        </w:rPr>
        <w:t>—</w:t>
      </w:r>
      <w:r>
        <w:rPr>
          <w:rFonts w:hint="eastAsia" w:ascii="方正小标宋简体" w:hAnsi="方正小标宋简体" w:eastAsia="方正小标宋简体" w:cs="方正小标宋简体"/>
          <w:sz w:val="44"/>
          <w:szCs w:val="44"/>
          <w:highlight w:val="none"/>
          <w:shd w:val="clear" w:color="auto" w:fill="auto"/>
        </w:rPr>
        <w:t>2026）</w:t>
      </w:r>
    </w:p>
    <w:p>
      <w:pPr>
        <w:spacing w:line="560" w:lineRule="exact"/>
        <w:ind w:firstLine="0" w:firstLineChars="0"/>
        <w:jc w:val="center"/>
        <w:rPr>
          <w:rFonts w:ascii="仿宋_GB2312" w:hAnsi="仿宋_GB2312" w:cs="仿宋_GB2312"/>
          <w:szCs w:val="32"/>
          <w:highlight w:val="none"/>
          <w:shd w:val="clear" w:color="auto" w:fill="auto"/>
          <w:lang w:val="en"/>
        </w:rPr>
      </w:pPr>
      <w:r>
        <w:rPr>
          <w:rFonts w:hint="eastAsia" w:ascii="仿宋_GB2312" w:hAnsi="仿宋_GB2312" w:cs="仿宋_GB2312"/>
          <w:szCs w:val="32"/>
          <w:highlight w:val="none"/>
          <w:shd w:val="clear" w:color="auto" w:fill="auto"/>
          <w:lang w:val="en"/>
        </w:rPr>
        <w:t>（</w:t>
      </w:r>
      <w:r>
        <w:rPr>
          <w:rFonts w:hint="eastAsia" w:ascii="仿宋_GB2312" w:hAnsi="仿宋_GB2312" w:cs="仿宋_GB2312"/>
          <w:szCs w:val="32"/>
          <w:highlight w:val="none"/>
          <w:shd w:val="clear" w:color="auto" w:fill="auto"/>
          <w:lang w:val="en" w:eastAsia="zh-CN"/>
        </w:rPr>
        <w:t>征求意见稿</w:t>
      </w:r>
      <w:r>
        <w:rPr>
          <w:rFonts w:hint="eastAsia" w:ascii="仿宋_GB2312" w:hAnsi="仿宋_GB2312" w:cs="仿宋_GB2312"/>
          <w:szCs w:val="32"/>
          <w:highlight w:val="none"/>
          <w:shd w:val="clear" w:color="auto" w:fill="auto"/>
          <w:lang w:val="en"/>
        </w:rPr>
        <w:t>）</w:t>
      </w:r>
    </w:p>
    <w:p>
      <w:pPr>
        <w:pStyle w:val="2"/>
        <w:ind w:firstLine="640"/>
        <w:rPr>
          <w:highlight w:val="none"/>
          <w:shd w:val="clear" w:color="auto" w:fill="auto"/>
        </w:rPr>
      </w:pPr>
    </w:p>
    <w:p>
      <w:pPr>
        <w:spacing w:line="560" w:lineRule="exact"/>
        <w:ind w:firstLine="640"/>
        <w:rPr>
          <w:highlight w:val="none"/>
          <w:shd w:val="clear" w:color="auto" w:fill="auto"/>
        </w:rPr>
      </w:pPr>
      <w:r>
        <w:rPr>
          <w:rFonts w:hint="eastAsia" w:ascii="仿宋_GB2312" w:hAnsi="仿宋_GB2312" w:cs="仿宋_GB2312"/>
          <w:szCs w:val="32"/>
          <w:highlight w:val="none"/>
          <w:shd w:val="clear" w:color="auto" w:fill="auto"/>
        </w:rPr>
        <w:t>为贯彻</w:t>
      </w:r>
      <w:r>
        <w:rPr>
          <w:rFonts w:hint="eastAsia" w:ascii="仿宋_GB2312" w:hAnsi="仿宋_GB2312" w:cs="仿宋_GB2312"/>
          <w:highlight w:val="none"/>
          <w:shd w:val="clear" w:color="auto" w:fill="auto"/>
        </w:rPr>
        <w:t>《新时期促进集成电路产业和软件产业高质量发展若干政策》</w:t>
      </w:r>
      <w:r>
        <w:rPr>
          <w:rFonts w:hint="eastAsia" w:ascii="仿宋_GB2312" w:hAnsi="仿宋_GB2312" w:cs="仿宋_GB2312"/>
          <w:szCs w:val="32"/>
          <w:highlight w:val="none"/>
          <w:shd w:val="clear" w:color="auto" w:fill="auto"/>
        </w:rPr>
        <w:t>《深圳市培育发展软件与信息服务产业集群行动计划（2021</w:t>
      </w:r>
      <w:r>
        <w:rPr>
          <w:rFonts w:hint="eastAsia" w:ascii="仿宋_GB2312" w:hAnsi="仿宋_GB2312" w:cs="仿宋_GB2312"/>
          <w:szCs w:val="32"/>
          <w:highlight w:val="none"/>
          <w:shd w:val="clear" w:color="auto" w:fill="auto"/>
          <w:lang w:eastAsia="zh-CN"/>
        </w:rPr>
        <w:t>—</w:t>
      </w:r>
      <w:r>
        <w:rPr>
          <w:rFonts w:hint="eastAsia" w:ascii="仿宋_GB2312" w:hAnsi="仿宋_GB2312" w:cs="仿宋_GB2312"/>
          <w:szCs w:val="32"/>
          <w:highlight w:val="none"/>
          <w:shd w:val="clear" w:color="auto" w:fill="auto"/>
        </w:rPr>
        <w:t>2025年）》，促进龙华区软件产业高质量发展，</w:t>
      </w:r>
      <w:r>
        <w:rPr>
          <w:rFonts w:cs="Times New Roman"/>
          <w:highlight w:val="none"/>
          <w:shd w:val="clear" w:color="auto" w:fill="auto"/>
        </w:rPr>
        <w:t>推动软件</w:t>
      </w:r>
      <w:r>
        <w:rPr>
          <w:rFonts w:hint="eastAsia" w:ascii="仿宋_GB2312" w:hAnsi="仿宋_GB2312" w:cs="仿宋_GB2312"/>
          <w:szCs w:val="32"/>
          <w:highlight w:val="none"/>
          <w:shd w:val="clear" w:color="auto" w:fill="auto"/>
        </w:rPr>
        <w:t>与信息服务产业</w:t>
      </w:r>
      <w:r>
        <w:rPr>
          <w:rFonts w:cs="Times New Roman"/>
          <w:highlight w:val="none"/>
          <w:shd w:val="clear" w:color="auto" w:fill="auto"/>
        </w:rPr>
        <w:t>扩规模、提质量、增效益</w:t>
      </w:r>
      <w:r>
        <w:rPr>
          <w:rFonts w:hint="eastAsia" w:cs="Times New Roman"/>
          <w:highlight w:val="none"/>
          <w:shd w:val="clear" w:color="auto" w:fill="auto"/>
        </w:rPr>
        <w:t>，</w:t>
      </w:r>
      <w:r>
        <w:rPr>
          <w:rFonts w:hint="eastAsia" w:ascii="仿宋_GB2312" w:hAnsi="仿宋_GB2312" w:cs="仿宋_GB2312"/>
          <w:szCs w:val="32"/>
          <w:highlight w:val="none"/>
          <w:shd w:val="clear" w:color="auto" w:fill="auto"/>
        </w:rPr>
        <w:t>特制定本实施方案。</w:t>
      </w:r>
    </w:p>
    <w:p>
      <w:pPr>
        <w:pStyle w:val="4"/>
        <w:spacing w:line="560" w:lineRule="exact"/>
        <w:ind w:firstLine="640"/>
        <w:rPr>
          <w:rFonts w:cs="Times New Roman"/>
          <w:color w:val="auto"/>
          <w:highlight w:val="none"/>
          <w:shd w:val="clear" w:color="auto" w:fill="auto"/>
        </w:rPr>
      </w:pPr>
      <w:bookmarkStart w:id="0" w:name="_Toc22959"/>
      <w:bookmarkStart w:id="1" w:name="_Toc17631"/>
      <w:r>
        <w:rPr>
          <w:rFonts w:cs="Times New Roman"/>
          <w:color w:val="auto"/>
          <w:highlight w:val="none"/>
          <w:shd w:val="clear" w:color="auto" w:fill="auto"/>
        </w:rPr>
        <w:t>一、</w:t>
      </w:r>
      <w:bookmarkEnd w:id="0"/>
      <w:bookmarkEnd w:id="1"/>
      <w:r>
        <w:rPr>
          <w:rFonts w:hint="eastAsia" w:cs="Times New Roman"/>
          <w:color w:val="auto"/>
          <w:highlight w:val="none"/>
          <w:shd w:val="clear" w:color="auto" w:fill="auto"/>
        </w:rPr>
        <w:t>指导思想</w:t>
      </w:r>
    </w:p>
    <w:p>
      <w:pPr>
        <w:spacing w:line="560" w:lineRule="exact"/>
        <w:ind w:firstLine="640"/>
        <w:rPr>
          <w:rFonts w:cs="Times New Roman"/>
          <w:highlight w:val="none"/>
          <w:shd w:val="clear" w:color="auto" w:fill="auto"/>
        </w:rPr>
      </w:pPr>
      <w:r>
        <w:rPr>
          <w:rFonts w:cs="Times New Roman"/>
          <w:highlight w:val="none"/>
          <w:shd w:val="clear" w:color="auto" w:fill="auto"/>
        </w:rPr>
        <w:t>以习近平新时代中国特色社会主义思想为指导，全面贯彻党的二十大精神，扎实推进国家软件产业发展战略，</w:t>
      </w:r>
      <w:r>
        <w:rPr>
          <w:rFonts w:hint="eastAsia" w:cs="Times New Roman"/>
          <w:highlight w:val="none"/>
          <w:shd w:val="clear" w:color="auto" w:fill="auto"/>
        </w:rPr>
        <w:t>释放“软件定义”新活力。依托基地建设，为龙华汇聚软件产业生态、人才、科技、金融、服务全要素</w:t>
      </w:r>
      <w:r>
        <w:rPr>
          <w:rFonts w:cs="Times New Roman"/>
          <w:highlight w:val="none"/>
          <w:shd w:val="clear" w:color="auto" w:fill="auto"/>
        </w:rPr>
        <w:t>，</w:t>
      </w:r>
      <w:r>
        <w:rPr>
          <w:rFonts w:hint="eastAsia" w:cs="Times New Roman"/>
          <w:highlight w:val="none"/>
          <w:shd w:val="clear" w:color="auto" w:fill="auto"/>
        </w:rPr>
        <w:t>持续壮大</w:t>
      </w:r>
      <w:r>
        <w:rPr>
          <w:rFonts w:cs="Times New Roman"/>
          <w:highlight w:val="none"/>
          <w:shd w:val="clear" w:color="auto" w:fill="auto"/>
        </w:rPr>
        <w:t>存量企业，</w:t>
      </w:r>
      <w:r>
        <w:rPr>
          <w:rFonts w:hint="eastAsia" w:cs="Times New Roman"/>
          <w:highlight w:val="none"/>
          <w:shd w:val="clear" w:color="auto" w:fill="auto"/>
        </w:rPr>
        <w:t>挖掘</w:t>
      </w:r>
      <w:r>
        <w:rPr>
          <w:rFonts w:cs="Times New Roman"/>
          <w:highlight w:val="none"/>
          <w:shd w:val="clear" w:color="auto" w:fill="auto"/>
        </w:rPr>
        <w:t>引进增量企业，将深圳北软件产业基地建设成为全市软件产业主</w:t>
      </w:r>
      <w:r>
        <w:rPr>
          <w:rFonts w:hint="eastAsia" w:cs="Times New Roman"/>
          <w:highlight w:val="none"/>
          <w:shd w:val="clear" w:color="auto" w:fill="auto"/>
        </w:rPr>
        <w:t>力</w:t>
      </w:r>
      <w:r>
        <w:rPr>
          <w:rFonts w:cs="Times New Roman"/>
          <w:highlight w:val="none"/>
          <w:shd w:val="clear" w:color="auto" w:fill="auto"/>
        </w:rPr>
        <w:t>承载区</w:t>
      </w:r>
      <w:r>
        <w:rPr>
          <w:rFonts w:hint="eastAsia" w:cs="Times New Roman"/>
          <w:highlight w:val="none"/>
          <w:shd w:val="clear" w:color="auto" w:fill="auto"/>
        </w:rPr>
        <w:t>和</w:t>
      </w:r>
      <w:r>
        <w:rPr>
          <w:rFonts w:cs="Times New Roman"/>
          <w:highlight w:val="none"/>
          <w:shd w:val="clear" w:color="auto" w:fill="auto"/>
        </w:rPr>
        <w:t>软件人才</w:t>
      </w:r>
      <w:r>
        <w:rPr>
          <w:rFonts w:hint="eastAsia" w:cs="Times New Roman"/>
          <w:highlight w:val="none"/>
          <w:shd w:val="clear" w:color="auto" w:fill="auto"/>
        </w:rPr>
        <w:t>宜居宜业宜创</w:t>
      </w:r>
      <w:r>
        <w:rPr>
          <w:rFonts w:cs="Times New Roman"/>
          <w:highlight w:val="none"/>
          <w:shd w:val="clear" w:color="auto" w:fill="auto"/>
        </w:rPr>
        <w:t>集聚区，</w:t>
      </w:r>
      <w:r>
        <w:rPr>
          <w:rFonts w:hint="eastAsia" w:ascii="仿宋_GB2312" w:hAnsi="仿宋_GB2312" w:cs="仿宋_GB2312"/>
          <w:szCs w:val="32"/>
          <w:highlight w:val="none"/>
          <w:shd w:val="clear" w:color="auto" w:fill="auto"/>
        </w:rPr>
        <w:t>助力深圳打造国际软件名城。</w:t>
      </w:r>
    </w:p>
    <w:p>
      <w:pPr>
        <w:pStyle w:val="4"/>
        <w:spacing w:line="560" w:lineRule="exact"/>
        <w:ind w:firstLine="640"/>
        <w:rPr>
          <w:rFonts w:cs="Times New Roman"/>
          <w:color w:val="auto"/>
          <w:highlight w:val="none"/>
          <w:shd w:val="clear" w:color="auto" w:fill="auto"/>
        </w:rPr>
      </w:pPr>
      <w:r>
        <w:rPr>
          <w:rFonts w:hint="eastAsia" w:cs="Times New Roman"/>
          <w:color w:val="auto"/>
          <w:highlight w:val="none"/>
          <w:shd w:val="clear" w:color="auto" w:fill="auto"/>
        </w:rPr>
        <w:t>二</w:t>
      </w:r>
      <w:r>
        <w:rPr>
          <w:rFonts w:cs="Times New Roman"/>
          <w:color w:val="auto"/>
          <w:highlight w:val="none"/>
          <w:shd w:val="clear" w:color="auto" w:fill="auto"/>
        </w:rPr>
        <w:t>、</w:t>
      </w:r>
      <w:r>
        <w:rPr>
          <w:rFonts w:hint="eastAsia" w:cs="Times New Roman"/>
          <w:color w:val="auto"/>
          <w:highlight w:val="none"/>
          <w:shd w:val="clear" w:color="auto" w:fill="auto"/>
        </w:rPr>
        <w:t>总体目标</w:t>
      </w:r>
    </w:p>
    <w:p>
      <w:pPr>
        <w:pStyle w:val="2"/>
        <w:spacing w:line="560" w:lineRule="exact"/>
        <w:ind w:firstLine="640"/>
        <w:rPr>
          <w:rFonts w:ascii="仿宋_GB2312" w:hAnsi="仿宋_GB2312" w:cs="仿宋_GB2312"/>
          <w:highlight w:val="none"/>
          <w:shd w:val="clear" w:color="auto" w:fill="auto"/>
        </w:rPr>
      </w:pPr>
      <w:r>
        <w:rPr>
          <w:rFonts w:hint="eastAsia" w:ascii="仿宋_GB2312" w:hAnsi="仿宋_GB2312" w:cs="仿宋_GB2312"/>
          <w:highlight w:val="none"/>
          <w:shd w:val="clear" w:color="auto" w:fill="auto"/>
        </w:rPr>
        <w:t>到2026年，深圳北软件产业基地启动区、拓展区建设基本完成，基础软件、工业软件、新兴技术软件、平台软件等软件产业生态初步集聚，基地承载能力、服务能力和专业化水平全面提升，核心竞争力显著提高</w:t>
      </w:r>
      <w:r>
        <w:rPr>
          <w:rFonts w:hint="eastAsia" w:ascii="仿宋_GB2312" w:hAnsi="仿宋_GB2312" w:cs="仿宋_GB2312"/>
          <w:szCs w:val="32"/>
          <w:highlight w:val="none"/>
          <w:shd w:val="clear" w:color="auto" w:fill="auto"/>
        </w:rPr>
        <w:t>，基地成为全市软件与信息服务产业集群的核心承载区和软件人才集聚新高地。力争2024年创建</w:t>
      </w:r>
      <w:r>
        <w:rPr>
          <w:rFonts w:hint="eastAsia" w:ascii="仿宋_GB2312" w:hAnsi="仿宋_GB2312" w:cs="仿宋_GB2312"/>
          <w:highlight w:val="none"/>
          <w:shd w:val="clear" w:color="auto" w:fill="auto"/>
        </w:rPr>
        <w:t>深圳市特色软件名园，2025年成为深圳市综合软件名园，2026年认定为中国软件名园，</w:t>
      </w:r>
      <w:r>
        <w:rPr>
          <w:rFonts w:hint="eastAsia" w:ascii="仿宋_GB2312" w:hAnsi="仿宋_GB2312" w:cs="仿宋_GB2312"/>
          <w:szCs w:val="32"/>
          <w:highlight w:val="none"/>
          <w:shd w:val="clear" w:color="auto" w:fill="auto"/>
        </w:rPr>
        <w:t>为深圳构建全国数字经济创新发展新典范和全球数字先锋新样板提供关键支撑。</w:t>
      </w:r>
      <w:r>
        <w:rPr>
          <w:rFonts w:hint="eastAsia" w:ascii="仿宋_GB2312" w:hAnsi="仿宋_GB2312" w:cs="仿宋_GB2312"/>
          <w:highlight w:val="none"/>
          <w:shd w:val="clear" w:color="auto" w:fill="auto"/>
        </w:rPr>
        <w:t>具体目标如下：</w:t>
      </w:r>
    </w:p>
    <w:p>
      <w:pPr>
        <w:pStyle w:val="2"/>
        <w:spacing w:line="560" w:lineRule="exact"/>
        <w:ind w:firstLine="640"/>
        <w:rPr>
          <w:rFonts w:ascii="仿宋_GB2312" w:hAnsi="仿宋_GB2312" w:cs="仿宋_GB2312"/>
          <w:highlight w:val="none"/>
          <w:shd w:val="clear" w:color="auto" w:fill="auto"/>
        </w:rPr>
      </w:pPr>
      <w:r>
        <w:rPr>
          <w:rFonts w:hint="eastAsia" w:ascii="仿宋_GB2312" w:hAnsi="仿宋_GB2312" w:cs="仿宋_GB2312"/>
          <w:b/>
          <w:bCs/>
          <w:highlight w:val="none"/>
          <w:shd w:val="clear" w:color="auto" w:fill="auto"/>
        </w:rPr>
        <w:t>——产业规模迈上新台阶。</w:t>
      </w:r>
      <w:r>
        <w:rPr>
          <w:rFonts w:hint="eastAsia" w:ascii="仿宋_GB2312" w:hAnsi="仿宋_GB2312" w:cs="仿宋_GB2312"/>
          <w:highlight w:val="none"/>
          <w:shd w:val="clear" w:color="auto" w:fill="auto"/>
        </w:rPr>
        <w:t>力争到2026年，基地</w:t>
      </w:r>
      <w:r>
        <w:rPr>
          <w:rFonts w:hint="eastAsia" w:ascii="仿宋_GB2312" w:hAnsi="仿宋_GB2312" w:cs="仿宋_GB2312"/>
          <w:szCs w:val="32"/>
          <w:highlight w:val="none"/>
          <w:shd w:val="clear" w:color="auto" w:fill="auto"/>
        </w:rPr>
        <w:t>软件与信息服务业实现跨越式增长，产业规模达600亿元，年均增速15%以上，推动</w:t>
      </w:r>
      <w:r>
        <w:rPr>
          <w:rFonts w:hint="eastAsia" w:ascii="仿宋_GB2312" w:hAnsi="仿宋_GB2312" w:cs="仿宋_GB2312"/>
          <w:highlight w:val="none"/>
          <w:shd w:val="clear" w:color="auto" w:fill="auto"/>
        </w:rPr>
        <w:t>龙华区软件与信息服务业规模进入全市前三</w:t>
      </w:r>
      <w:r>
        <w:rPr>
          <w:rFonts w:hint="eastAsia" w:ascii="仿宋_GB2312" w:hAnsi="仿宋_GB2312" w:cs="仿宋_GB2312"/>
          <w:szCs w:val="32"/>
          <w:highlight w:val="none"/>
          <w:shd w:val="clear" w:color="auto" w:fill="auto"/>
        </w:rPr>
        <w:t>。</w:t>
      </w:r>
      <w:r>
        <w:rPr>
          <w:rFonts w:hint="eastAsia" w:ascii="仿宋_GB2312" w:hAnsi="仿宋_GB2312" w:cs="仿宋_GB2312"/>
          <w:highlight w:val="none"/>
          <w:shd w:val="clear" w:color="auto" w:fill="auto"/>
        </w:rPr>
        <w:t>规模以上软件与信息</w:t>
      </w:r>
      <w:r>
        <w:rPr>
          <w:rFonts w:hint="eastAsia" w:ascii="仿宋_GB2312" w:hAnsi="仿宋_GB2312" w:cs="仿宋_GB2312"/>
          <w:highlight w:val="none"/>
          <w:shd w:val="clear" w:color="auto" w:fill="auto"/>
          <w:lang w:eastAsia="zh-CN"/>
        </w:rPr>
        <w:t>技术</w:t>
      </w:r>
      <w:r>
        <w:rPr>
          <w:rFonts w:hint="eastAsia" w:ascii="仿宋_GB2312" w:hAnsi="仿宋_GB2312" w:cs="仿宋_GB2312"/>
          <w:highlight w:val="none"/>
          <w:shd w:val="clear" w:color="auto" w:fill="auto"/>
        </w:rPr>
        <w:t>服务企业超150家，新增全市软件百强企业5家以上，国家鼓励的重点软件企业数量达2家以上。力争培育不少于10家“专精特新”软件企业，新增上市企业2家以上。培育若干具有行业核心竞争力的软件企业和软件名牌产品。</w:t>
      </w:r>
    </w:p>
    <w:p>
      <w:pPr>
        <w:spacing w:line="560" w:lineRule="exact"/>
        <w:ind w:firstLine="640"/>
        <w:rPr>
          <w:rFonts w:ascii="仿宋_GB2312" w:hAnsi="仿宋_GB2312" w:cs="仿宋_GB2312"/>
          <w:highlight w:val="none"/>
          <w:shd w:val="clear" w:color="auto" w:fill="auto"/>
        </w:rPr>
      </w:pPr>
      <w:r>
        <w:rPr>
          <w:rFonts w:hint="eastAsia" w:ascii="仿宋_GB2312" w:hAnsi="仿宋_GB2312" w:cs="仿宋_GB2312"/>
          <w:b/>
          <w:bCs/>
          <w:highlight w:val="none"/>
          <w:shd w:val="clear" w:color="auto" w:fill="auto"/>
        </w:rPr>
        <w:t>——科技创新取得新突破。</w:t>
      </w:r>
      <w:r>
        <w:rPr>
          <w:rFonts w:hint="eastAsia" w:ascii="仿宋_GB2312" w:hAnsi="仿宋_GB2312" w:cs="仿宋_GB2312"/>
          <w:highlight w:val="none"/>
          <w:shd w:val="clear" w:color="auto" w:fill="auto"/>
        </w:rPr>
        <w:t>力争到2026年，基地基础软件、工业软件等领域的自主可控软件实现突破，新兴技术软件和平台软件效益良好，形成协同发展的良好生态。</w:t>
      </w:r>
      <w:r>
        <w:rPr>
          <w:rFonts w:ascii="仿宋_GB2312" w:hAnsi="仿宋_GB2312" w:cs="仿宋_GB2312"/>
          <w:szCs w:val="32"/>
          <w:highlight w:val="none"/>
          <w:shd w:val="clear" w:color="auto" w:fill="auto"/>
          <w:lang w:val="en"/>
        </w:rPr>
        <w:t>各类</w:t>
      </w:r>
      <w:r>
        <w:rPr>
          <w:rFonts w:hint="eastAsia" w:ascii="仿宋_GB2312" w:hAnsi="仿宋_GB2312" w:cs="仿宋_GB2312"/>
          <w:szCs w:val="32"/>
          <w:highlight w:val="none"/>
          <w:shd w:val="clear" w:color="auto" w:fill="auto"/>
        </w:rPr>
        <w:t>软件相关的工程技术中心、企业技术中心、工程技术研究中心、技术创新中心、产业创新中心、重点实验室等创新载体</w:t>
      </w:r>
      <w:r>
        <w:rPr>
          <w:rFonts w:hint="eastAsia" w:ascii="仿宋_GB2312" w:hAnsi="仿宋_GB2312" w:cs="仿宋_GB2312"/>
          <w:highlight w:val="none"/>
          <w:shd w:val="clear" w:color="auto" w:fill="auto"/>
        </w:rPr>
        <w:t>不少于10个，开源社区、开源代码安全检测平台、软件测评中心、商用密码产品检测中心、人工智能开放创新平台、新技术验证中心、鸿蒙欧拉创新中心或信创攻关基地在内的软件类公共服务平台不少于5个，基地综合实力显著增强，软件企业的技术创新能力进一步提升，形成开源生态体系。</w:t>
      </w:r>
    </w:p>
    <w:p>
      <w:pPr>
        <w:pStyle w:val="2"/>
        <w:spacing w:line="560" w:lineRule="exact"/>
        <w:ind w:firstLine="640"/>
        <w:rPr>
          <w:rFonts w:ascii="仿宋_GB2312" w:hAnsi="仿宋_GB2312" w:cs="仿宋_GB2312"/>
          <w:highlight w:val="none"/>
          <w:shd w:val="clear" w:color="auto" w:fill="auto"/>
        </w:rPr>
      </w:pPr>
      <w:r>
        <w:rPr>
          <w:rFonts w:hint="eastAsia" w:ascii="仿宋_GB2312" w:hAnsi="仿宋_GB2312" w:cs="仿宋_GB2312"/>
          <w:b/>
          <w:bCs/>
          <w:highlight w:val="none"/>
          <w:shd w:val="clear" w:color="auto" w:fill="auto"/>
        </w:rPr>
        <w:t>——人才引培获得新</w:t>
      </w:r>
      <w:r>
        <w:rPr>
          <w:rFonts w:hint="eastAsia" w:ascii="仿宋_GB2312" w:hAnsi="仿宋_GB2312" w:cs="仿宋_GB2312"/>
          <w:b/>
          <w:bCs/>
          <w:highlight w:val="none"/>
          <w:shd w:val="clear" w:color="auto" w:fill="auto"/>
          <w:lang w:val="en"/>
        </w:rPr>
        <w:t>成绩</w:t>
      </w:r>
      <w:r>
        <w:rPr>
          <w:rFonts w:hint="eastAsia" w:ascii="仿宋_GB2312" w:hAnsi="仿宋_GB2312" w:cs="仿宋_GB2312"/>
          <w:b/>
          <w:bCs/>
          <w:highlight w:val="none"/>
          <w:shd w:val="clear" w:color="auto" w:fill="auto"/>
        </w:rPr>
        <w:t>。</w:t>
      </w:r>
      <w:r>
        <w:rPr>
          <w:rFonts w:hint="eastAsia" w:ascii="仿宋_GB2312" w:hAnsi="仿宋_GB2312" w:cs="仿宋_GB2312"/>
          <w:highlight w:val="none"/>
          <w:shd w:val="clear" w:color="auto" w:fill="auto"/>
        </w:rPr>
        <w:t>力争到2026年，软件行业人才形成集聚效应，软件架构师、测评工程师、开源软件工程师等软件高端人才占比不断提升，软件人才队伍结构更加合理。建设鸿蒙+欧拉、鲲鹏+昇腾等若干特色软件产业学院，全方位推动龙华区龙头企业与高校专职院校开展校企合作，建设软件人才实训基地，培养软件开发测试实用性人才，优化人才发展环境。</w:t>
      </w:r>
    </w:p>
    <w:p>
      <w:pPr>
        <w:pStyle w:val="7"/>
        <w:ind w:firstLine="640"/>
        <w:rPr>
          <w:rFonts w:ascii="仿宋_GB2312" w:hAnsi="仿宋_GB2312" w:eastAsia="仿宋_GB2312" w:cs="仿宋_GB2312"/>
          <w:sz w:val="32"/>
          <w:szCs w:val="24"/>
          <w:highlight w:val="none"/>
          <w:shd w:val="clear" w:color="auto" w:fill="auto"/>
        </w:rPr>
      </w:pPr>
      <w:r>
        <w:rPr>
          <w:rFonts w:hint="eastAsia" w:ascii="仿宋_GB2312" w:hAnsi="仿宋_GB2312" w:eastAsia="仿宋_GB2312" w:cs="仿宋_GB2312"/>
          <w:b/>
          <w:bCs/>
          <w:sz w:val="32"/>
          <w:szCs w:val="24"/>
          <w:highlight w:val="none"/>
          <w:shd w:val="clear" w:color="auto" w:fill="auto"/>
        </w:rPr>
        <w:t>——基础设施建设达到新水平。</w:t>
      </w:r>
      <w:r>
        <w:rPr>
          <w:rFonts w:hint="eastAsia" w:ascii="仿宋_GB2312" w:hAnsi="仿宋_GB2312" w:eastAsia="仿宋_GB2312" w:cs="仿宋_GB2312"/>
          <w:sz w:val="32"/>
          <w:szCs w:val="24"/>
          <w:highlight w:val="none"/>
          <w:shd w:val="clear" w:color="auto" w:fill="auto"/>
        </w:rPr>
        <w:t>力争到2026年，基地城市级高品质无线局域网实现“一次认证、无感漫游、智能切换”。5G网络实现高质量覆盖，物联网感知终端数达到200万，光传送网（OTN）覆盖率达到100%，下载速率达到500Mbps、上行速率达到100Mbps。“3T”（即免费享有1T云存储空间、1T网络流量、1T学习资料）试点成效突出。构建先进算力基础设施，力争智能算力达到1000PFLOPS以上，形成以数据中心和边缘计算为主体、智能超算为特色的算力一张网，实现算力的云边端统筹供给。</w:t>
      </w:r>
    </w:p>
    <w:p>
      <w:pPr>
        <w:pStyle w:val="7"/>
        <w:ind w:firstLine="640"/>
        <w:rPr>
          <w:rFonts w:ascii="Times New Roman" w:hAnsi="Times New Roman" w:eastAsia="黑体"/>
          <w:bCs/>
          <w:kern w:val="44"/>
          <w:sz w:val="32"/>
          <w:szCs w:val="44"/>
          <w:highlight w:val="none"/>
          <w:shd w:val="clear" w:color="auto" w:fill="auto"/>
        </w:rPr>
      </w:pPr>
      <w:r>
        <w:rPr>
          <w:rFonts w:hint="eastAsia" w:ascii="Times New Roman" w:hAnsi="Times New Roman" w:eastAsia="黑体"/>
          <w:bCs/>
          <w:kern w:val="44"/>
          <w:sz w:val="32"/>
          <w:szCs w:val="44"/>
          <w:highlight w:val="none"/>
          <w:shd w:val="clear" w:color="auto" w:fill="auto"/>
        </w:rPr>
        <w:t>三、空间格局</w:t>
      </w:r>
    </w:p>
    <w:p>
      <w:pPr>
        <w:spacing w:line="560" w:lineRule="exact"/>
        <w:ind w:firstLine="640"/>
        <w:rPr>
          <w:rFonts w:ascii="仿宋_GB2312" w:hAnsi="仿宋_GB2312" w:cs="仿宋_GB2312"/>
          <w:b/>
          <w:bCs/>
          <w:highlight w:val="none"/>
          <w:shd w:val="clear" w:color="auto" w:fill="auto"/>
        </w:rPr>
      </w:pPr>
      <w:r>
        <w:rPr>
          <w:rFonts w:hint="eastAsia" w:ascii="仿宋_GB2312" w:hAnsi="仿宋_GB2312" w:cs="仿宋_GB2312"/>
          <w:highlight w:val="none"/>
          <w:shd w:val="clear" w:color="auto" w:fill="auto"/>
        </w:rPr>
        <w:t>以北站汇德、汇隆、数创中心ABC、北站壹号、红山6979为</w:t>
      </w:r>
      <w:r>
        <w:rPr>
          <w:rFonts w:hint="eastAsia" w:ascii="仿宋_GB2312" w:hAnsi="仿宋_GB2312" w:cs="仿宋_GB2312"/>
          <w:b/>
          <w:bCs/>
          <w:highlight w:val="none"/>
          <w:shd w:val="clear" w:color="auto" w:fill="auto"/>
        </w:rPr>
        <w:t>启动区</w:t>
      </w:r>
      <w:r>
        <w:rPr>
          <w:rFonts w:hint="eastAsia" w:ascii="仿宋_GB2312" w:hAnsi="仿宋_GB2312" w:cs="仿宋_GB2312"/>
          <w:highlight w:val="none"/>
          <w:shd w:val="clear" w:color="auto" w:fill="auto"/>
        </w:rPr>
        <w:t>，由A、B、C三区组成，重点推进产业聚集，培育服务生态，完善周边配套，引育一批影响力大、竞争力强的重点软件企业，为基地建设打好基础。</w:t>
      </w:r>
      <w:r>
        <w:rPr>
          <w:rFonts w:hint="eastAsia" w:ascii="仿宋_GB2312" w:hAnsi="仿宋_GB2312" w:cs="仿宋_GB2312"/>
          <w:szCs w:val="32"/>
          <w:highlight w:val="none"/>
          <w:shd w:val="clear" w:color="auto" w:fill="auto"/>
        </w:rPr>
        <w:t>以华南物流园、华南数字谷为</w:t>
      </w:r>
      <w:r>
        <w:rPr>
          <w:rFonts w:hint="eastAsia" w:ascii="仿宋_GB2312" w:hAnsi="仿宋_GB2312" w:cs="仿宋_GB2312"/>
          <w:b/>
          <w:bCs/>
          <w:szCs w:val="32"/>
          <w:highlight w:val="none"/>
          <w:shd w:val="clear" w:color="auto" w:fill="auto"/>
        </w:rPr>
        <w:t>拓展区</w:t>
      </w:r>
      <w:r>
        <w:rPr>
          <w:rFonts w:hint="eastAsia" w:ascii="仿宋_GB2312" w:hAnsi="仿宋_GB2312" w:cs="仿宋_GB2312"/>
          <w:szCs w:val="32"/>
          <w:highlight w:val="none"/>
          <w:shd w:val="clear" w:color="auto" w:fill="auto"/>
        </w:rPr>
        <w:t>（D区），依托华为、海克斯康等重点企业，打造具有自主核心知识产权的工业、新兴软件，构建自主可控软件生态体系。基地按照地理位置划分为4个区域，产业分布如下：</w:t>
      </w:r>
    </w:p>
    <w:p>
      <w:pPr>
        <w:spacing w:line="560" w:lineRule="exact"/>
        <w:ind w:firstLine="640"/>
        <w:rPr>
          <w:rFonts w:ascii="仿宋_GB2312" w:hAnsi="仿宋_GB2312" w:cs="仿宋_GB2312"/>
          <w:b/>
          <w:bCs/>
          <w:highlight w:val="none"/>
          <w:shd w:val="clear" w:color="auto" w:fill="auto"/>
        </w:rPr>
      </w:pPr>
      <w:r>
        <w:rPr>
          <w:rFonts w:hint="eastAsia" w:ascii="仿宋_GB2312" w:hAnsi="仿宋_GB2312" w:cs="仿宋_GB2312"/>
          <w:b/>
          <w:bCs/>
          <w:highlight w:val="none"/>
          <w:shd w:val="clear" w:color="auto" w:fill="auto"/>
        </w:rPr>
        <w:t>A区</w:t>
      </w:r>
      <w:r>
        <w:rPr>
          <w:rFonts w:hint="eastAsia" w:ascii="仿宋_GB2312" w:hAnsi="仿宋_GB2312" w:cs="仿宋_GB2312"/>
          <w:highlight w:val="none"/>
          <w:shd w:val="clear" w:color="auto" w:fill="auto"/>
        </w:rPr>
        <w:t>由汇德、汇隆、北站超核组成</w:t>
      </w:r>
      <w:r>
        <w:rPr>
          <w:rFonts w:hint="eastAsia" w:ascii="仿宋_GB2312" w:hAnsi="仿宋_GB2312" w:cs="仿宋_GB2312"/>
          <w:b/>
          <w:bCs/>
          <w:highlight w:val="none"/>
          <w:shd w:val="clear" w:color="auto" w:fill="auto"/>
        </w:rPr>
        <w:t>，</w:t>
      </w:r>
      <w:r>
        <w:rPr>
          <w:rFonts w:hint="eastAsia" w:ascii="仿宋_GB2312" w:hAnsi="仿宋_GB2312" w:cs="仿宋_GB2312"/>
          <w:highlight w:val="none"/>
          <w:shd w:val="clear" w:color="auto" w:fill="auto"/>
        </w:rPr>
        <w:t>现有产业空间13.9万平方米，北站超核建成后，产业空间达30.9万平方米，打造成为平台软件产业承载区。依托美团、中诺通讯等总部企业、链主企业，打通上下游产业链，形成平台软件、物联网软件、应用软件、游戏软件等产业生态。</w:t>
      </w:r>
    </w:p>
    <w:p>
      <w:pPr>
        <w:spacing w:line="560" w:lineRule="exact"/>
        <w:ind w:firstLine="640"/>
        <w:rPr>
          <w:rFonts w:ascii="仿宋_GB2312" w:hAnsi="仿宋_GB2312" w:cs="仿宋_GB2312"/>
          <w:kern w:val="0"/>
          <w:szCs w:val="32"/>
          <w:highlight w:val="none"/>
          <w:shd w:val="clear" w:color="auto" w:fill="auto"/>
        </w:rPr>
      </w:pPr>
      <w:r>
        <w:rPr>
          <w:rFonts w:hint="eastAsia" w:ascii="仿宋_GB2312" w:hAnsi="仿宋_GB2312" w:cs="仿宋_GB2312"/>
          <w:b/>
          <w:bCs/>
          <w:highlight w:val="none"/>
          <w:shd w:val="clear" w:color="auto" w:fill="auto"/>
        </w:rPr>
        <w:t>B区</w:t>
      </w:r>
      <w:r>
        <w:rPr>
          <w:rFonts w:hint="eastAsia" w:ascii="仿宋_GB2312" w:hAnsi="仿宋_GB2312" w:cs="仿宋_GB2312"/>
          <w:highlight w:val="none"/>
          <w:shd w:val="clear" w:color="auto" w:fill="auto"/>
        </w:rPr>
        <w:t>由数创中心ABC和北站壹号组成，</w:t>
      </w:r>
      <w:r>
        <w:rPr>
          <w:rFonts w:hint="eastAsia" w:ascii="仿宋_GB2312" w:hAnsi="仿宋_GB2312" w:cs="仿宋_GB2312"/>
          <w:szCs w:val="32"/>
          <w:highlight w:val="none"/>
          <w:shd w:val="clear" w:color="auto" w:fill="auto"/>
        </w:rPr>
        <w:t>拥有产业空间37.4万平方米，</w:t>
      </w:r>
      <w:r>
        <w:rPr>
          <w:rFonts w:hint="eastAsia" w:ascii="仿宋_GB2312" w:hAnsi="仿宋_GB2312" w:cs="仿宋_GB2312"/>
          <w:highlight w:val="none"/>
          <w:shd w:val="clear" w:color="auto" w:fill="auto"/>
        </w:rPr>
        <w:t>重点</w:t>
      </w:r>
      <w:r>
        <w:rPr>
          <w:rFonts w:hint="eastAsia" w:ascii="仿宋_GB2312" w:hAnsi="仿宋_GB2312" w:cs="仿宋_GB2312"/>
          <w:szCs w:val="32"/>
          <w:highlight w:val="none"/>
          <w:shd w:val="clear" w:color="auto" w:fill="auto"/>
        </w:rPr>
        <w:t>发展大数据、人工智能、自动驾驶、工业互联网、元宇宙、大模型</w:t>
      </w:r>
      <w:r>
        <w:rPr>
          <w:rFonts w:hint="eastAsia" w:ascii="仿宋_GB2312" w:hAnsi="仿宋_GB2312" w:cs="仿宋_GB2312"/>
          <w:szCs w:val="32"/>
          <w:highlight w:val="none"/>
          <w:shd w:val="clear" w:color="auto" w:fill="auto"/>
          <w:lang w:eastAsia="zh-CN"/>
        </w:rPr>
        <w:t>和</w:t>
      </w:r>
      <w:r>
        <w:rPr>
          <w:rFonts w:hint="eastAsia" w:ascii="仿宋_GB2312" w:hAnsi="仿宋_GB2312" w:cs="仿宋_GB2312"/>
          <w:szCs w:val="32"/>
          <w:highlight w:val="none"/>
          <w:shd w:val="clear" w:color="auto" w:fill="auto"/>
        </w:rPr>
        <w:t>新兴技术平台软件。支持软件龙头企业、高校、科研院所等单位建立软件公共技术服务平台及软件人才实训基地，挖掘一批区块链、工业互联网、智能制造等领域的示范应用场景。</w:t>
      </w:r>
    </w:p>
    <w:p>
      <w:pPr>
        <w:spacing w:line="560" w:lineRule="exact"/>
        <w:ind w:firstLine="640"/>
        <w:rPr>
          <w:rFonts w:ascii="仿宋_GB2312" w:hAnsi="仿宋_GB2312" w:cs="仿宋_GB2312"/>
          <w:b/>
          <w:bCs/>
          <w:highlight w:val="none"/>
          <w:shd w:val="clear" w:color="auto" w:fill="auto"/>
        </w:rPr>
      </w:pPr>
      <w:r>
        <w:rPr>
          <w:rFonts w:hint="eastAsia" w:ascii="仿宋_GB2312" w:hAnsi="仿宋_GB2312" w:cs="仿宋_GB2312"/>
          <w:b/>
          <w:bCs/>
          <w:highlight w:val="none"/>
          <w:shd w:val="clear" w:color="auto" w:fill="auto"/>
        </w:rPr>
        <w:t>C区</w:t>
      </w:r>
      <w:r>
        <w:rPr>
          <w:rFonts w:hint="eastAsia" w:ascii="仿宋_GB2312" w:hAnsi="仿宋_GB2312" w:cs="仿宋_GB2312"/>
          <w:highlight w:val="none"/>
          <w:shd w:val="clear" w:color="auto" w:fill="auto"/>
        </w:rPr>
        <w:t>位于红山6979，拥有产业空间3万平方米，重点打造</w:t>
      </w:r>
      <w:r>
        <w:rPr>
          <w:rFonts w:hint="eastAsia" w:ascii="仿宋_GB2312" w:hAnsi="仿宋_GB2312" w:cs="仿宋_GB2312"/>
          <w:kern w:val="0"/>
          <w:szCs w:val="32"/>
          <w:highlight w:val="none"/>
          <w:shd w:val="clear" w:color="auto" w:fill="auto"/>
        </w:rPr>
        <w:t>关键基础软件攻关基地。依托深算院等重大科研平台，结合崖山DB、采石矶数据质量系统、钓鱼城数据分析系统，加速大数据高效计算、数据生产即分析、海量数据存储成本及数据孤岛融通等数据库瓶颈突破，加快推动国产软件适配工作。</w:t>
      </w:r>
    </w:p>
    <w:p>
      <w:pPr>
        <w:spacing w:line="560" w:lineRule="exact"/>
        <w:ind w:firstLine="640"/>
        <w:rPr>
          <w:rFonts w:ascii="仿宋_GB2312" w:hAnsi="仿宋_GB2312" w:cs="仿宋_GB2312"/>
          <w:highlight w:val="none"/>
          <w:shd w:val="clear" w:color="auto" w:fill="auto"/>
        </w:rPr>
      </w:pPr>
      <w:r>
        <w:rPr>
          <w:rFonts w:hint="eastAsia" w:ascii="仿宋_GB2312" w:hAnsi="仿宋_GB2312" w:cs="仿宋_GB2312"/>
          <w:b/>
          <w:bCs/>
          <w:highlight w:val="none"/>
          <w:shd w:val="clear" w:color="auto" w:fill="auto"/>
        </w:rPr>
        <w:t>D区</w:t>
      </w:r>
      <w:r>
        <w:rPr>
          <w:rFonts w:hint="eastAsia" w:ascii="仿宋_GB2312" w:hAnsi="仿宋_GB2312" w:cs="仿宋_GB2312"/>
          <w:highlight w:val="none"/>
          <w:shd w:val="clear" w:color="auto" w:fill="auto"/>
        </w:rPr>
        <w:t>位于</w:t>
      </w:r>
      <w:r>
        <w:rPr>
          <w:rFonts w:hint="eastAsia" w:ascii="仿宋_GB2312" w:hAnsi="仿宋_GB2312" w:cs="仿宋_GB2312"/>
          <w:szCs w:val="32"/>
          <w:highlight w:val="none"/>
          <w:shd w:val="clear" w:color="auto" w:fill="auto"/>
        </w:rPr>
        <w:t>华南物流园、华南数字谷，</w:t>
      </w:r>
      <w:r>
        <w:rPr>
          <w:rFonts w:hint="eastAsia" w:ascii="仿宋_GB2312" w:hAnsi="仿宋_GB2312" w:cs="仿宋_GB2312"/>
          <w:highlight w:val="none"/>
          <w:shd w:val="clear" w:color="auto" w:fill="auto"/>
        </w:rPr>
        <w:t>现有产业空间12万平方米，华南物流园改造完成后，可释放超120万平方米空间，</w:t>
      </w:r>
      <w:r>
        <w:rPr>
          <w:rFonts w:hint="eastAsia" w:ascii="仿宋_GB2312" w:hAnsi="仿宋_GB2312" w:cs="仿宋_GB2312"/>
          <w:szCs w:val="32"/>
          <w:highlight w:val="none"/>
          <w:shd w:val="clear" w:color="auto" w:fill="auto"/>
        </w:rPr>
        <w:t>重点布局工业软件，发展研发设计类和生产制造类等自主可控软件，打造软件上市公司总部基地。鼓励支持装备制造企业与工业软件企业共同研发以应用为中心的嵌入式软件系统。支持海克斯康开展基础工业软件研发和推广，突破一批核心技术算法。支持华为</w:t>
      </w:r>
      <w:r>
        <w:rPr>
          <w:rFonts w:hint="eastAsia" w:ascii="仿宋_GB2312" w:hAnsi="仿宋_GB2312" w:cs="仿宋_GB2312"/>
          <w:szCs w:val="32"/>
          <w:highlight w:val="none"/>
          <w:shd w:val="clear" w:color="auto" w:fill="auto"/>
          <w:lang w:eastAsia="zh-CN"/>
        </w:rPr>
        <w:t>、深开鸿等企业</w:t>
      </w:r>
      <w:r>
        <w:rPr>
          <w:rFonts w:hint="eastAsia" w:ascii="仿宋_GB2312" w:hAnsi="仿宋_GB2312" w:cs="仿宋_GB2312"/>
          <w:szCs w:val="32"/>
          <w:highlight w:val="none"/>
          <w:shd w:val="clear" w:color="auto" w:fill="auto"/>
        </w:rPr>
        <w:t>建设</w:t>
      </w:r>
      <w:r>
        <w:rPr>
          <w:rFonts w:hint="eastAsia" w:ascii="仿宋_GB2312" w:hAnsi="仿宋_GB2312" w:cs="仿宋_GB2312"/>
          <w:szCs w:val="32"/>
          <w:highlight w:val="none"/>
          <w:shd w:val="clear" w:color="auto" w:fill="auto"/>
          <w:lang w:eastAsia="zh-CN"/>
        </w:rPr>
        <w:t>鸿蒙软件产业园</w:t>
      </w:r>
      <w:r>
        <w:rPr>
          <w:rFonts w:hint="eastAsia" w:ascii="仿宋_GB2312" w:hAnsi="仿宋_GB2312" w:cs="仿宋_GB2312"/>
          <w:szCs w:val="32"/>
          <w:highlight w:val="none"/>
          <w:shd w:val="clear" w:color="auto" w:fill="auto"/>
        </w:rPr>
        <w:t>，</w:t>
      </w:r>
      <w:r>
        <w:rPr>
          <w:rFonts w:hint="eastAsia" w:ascii="仿宋_GB2312" w:hAnsi="仿宋_GB2312" w:cs="仿宋_GB2312"/>
          <w:szCs w:val="32"/>
          <w:highlight w:val="none"/>
          <w:shd w:val="clear" w:color="auto" w:fill="auto"/>
          <w:lang w:eastAsia="zh-CN"/>
        </w:rPr>
        <w:t>推动鸿蒙原生应用软件生态发展</w:t>
      </w:r>
      <w:r>
        <w:rPr>
          <w:rFonts w:hint="eastAsia" w:ascii="仿宋_GB2312" w:hAnsi="仿宋_GB2312" w:cs="仿宋_GB2312"/>
          <w:szCs w:val="32"/>
          <w:highlight w:val="none"/>
          <w:shd w:val="clear" w:color="auto" w:fill="auto"/>
        </w:rPr>
        <w:t>。聚焦汽车软件、生成式AI、分布式工业互联网等产业热点前沿，打通全过程创新生态链，引进培育一批科创服务类软件业上市公司。</w:t>
      </w:r>
    </w:p>
    <w:p>
      <w:pPr>
        <w:pStyle w:val="4"/>
        <w:keepNext w:val="0"/>
        <w:keepLines w:val="0"/>
        <w:numPr>
          <w:ilvl w:val="0"/>
          <w:numId w:val="1"/>
        </w:numPr>
        <w:spacing w:line="560" w:lineRule="exact"/>
        <w:ind w:firstLine="640"/>
        <w:rPr>
          <w:rFonts w:cs="Times New Roman"/>
          <w:color w:val="auto"/>
          <w:highlight w:val="none"/>
          <w:shd w:val="clear" w:color="auto" w:fill="auto"/>
        </w:rPr>
      </w:pPr>
      <w:bookmarkStart w:id="2" w:name="_Toc14065"/>
      <w:bookmarkStart w:id="3" w:name="_Toc14364"/>
      <w:r>
        <w:rPr>
          <w:rFonts w:cs="Times New Roman"/>
          <w:color w:val="auto"/>
          <w:highlight w:val="none"/>
          <w:shd w:val="clear" w:color="auto" w:fill="auto"/>
        </w:rPr>
        <w:t>主要任务</w:t>
      </w:r>
      <w:bookmarkEnd w:id="2"/>
      <w:bookmarkEnd w:id="3"/>
    </w:p>
    <w:p>
      <w:pPr>
        <w:ind w:firstLine="640"/>
        <w:rPr>
          <w:highlight w:val="none"/>
          <w:shd w:val="clear" w:color="auto" w:fill="auto"/>
        </w:rPr>
      </w:pPr>
      <w:r>
        <w:rPr>
          <w:rFonts w:cs="Times New Roman"/>
          <w:highlight w:val="none"/>
          <w:shd w:val="clear" w:color="auto" w:fill="auto"/>
        </w:rPr>
        <w:t>对标</w:t>
      </w:r>
      <w:r>
        <w:rPr>
          <w:rFonts w:hint="eastAsia" w:cs="Times New Roman"/>
          <w:highlight w:val="none"/>
          <w:shd w:val="clear" w:color="auto" w:fill="auto"/>
        </w:rPr>
        <w:t>中关村</w:t>
      </w:r>
      <w:r>
        <w:rPr>
          <w:rFonts w:cs="Times New Roman"/>
          <w:highlight w:val="none"/>
          <w:shd w:val="clear" w:color="auto" w:fill="auto"/>
        </w:rPr>
        <w:t>软件园、深圳湾科技生态园</w:t>
      </w:r>
      <w:r>
        <w:rPr>
          <w:rFonts w:hint="eastAsia" w:cs="Times New Roman"/>
          <w:highlight w:val="none"/>
          <w:shd w:val="clear" w:color="auto" w:fill="auto"/>
        </w:rPr>
        <w:t>、天府软件园</w:t>
      </w:r>
      <w:r>
        <w:rPr>
          <w:rFonts w:cs="Times New Roman"/>
          <w:highlight w:val="none"/>
          <w:shd w:val="clear" w:color="auto" w:fill="auto"/>
        </w:rPr>
        <w:t>等一流</w:t>
      </w:r>
      <w:r>
        <w:rPr>
          <w:rFonts w:hint="eastAsia" w:cs="Times New Roman"/>
          <w:highlight w:val="none"/>
          <w:shd w:val="clear" w:color="auto" w:fill="auto"/>
        </w:rPr>
        <w:t>软件产业</w:t>
      </w:r>
      <w:r>
        <w:rPr>
          <w:rFonts w:cs="Times New Roman"/>
          <w:highlight w:val="none"/>
          <w:shd w:val="clear" w:color="auto" w:fill="auto"/>
        </w:rPr>
        <w:t>园区，</w:t>
      </w:r>
      <w:r>
        <w:rPr>
          <w:rFonts w:hint="eastAsia" w:cs="Times New Roman"/>
          <w:highlight w:val="none"/>
          <w:shd w:val="clear" w:color="auto" w:fill="auto"/>
        </w:rPr>
        <w:t>学习借鉴美国硅谷、印度班加罗尔和爱尔兰国际领先软件产业集群建设经验，通过创新驱动、人才牵引、场景支撑、园区建设等举措，建设国内领先的软件名园。</w:t>
      </w:r>
    </w:p>
    <w:p>
      <w:pPr>
        <w:pStyle w:val="5"/>
        <w:keepNext w:val="0"/>
        <w:keepLines w:val="0"/>
        <w:spacing w:line="560" w:lineRule="exact"/>
        <w:ind w:firstLine="640"/>
        <w:rPr>
          <w:rFonts w:ascii="Times New Roman" w:hAnsi="Times New Roman" w:cs="Times New Roman"/>
          <w:b w:val="0"/>
          <w:bCs w:val="0"/>
          <w:highlight w:val="none"/>
          <w:shd w:val="clear" w:color="auto" w:fill="auto"/>
        </w:rPr>
      </w:pPr>
      <w:bookmarkStart w:id="4" w:name="_Toc18592"/>
      <w:bookmarkStart w:id="5" w:name="_Toc31602"/>
      <w:r>
        <w:rPr>
          <w:rFonts w:ascii="Times New Roman" w:hAnsi="Times New Roman" w:cs="Times New Roman"/>
          <w:b w:val="0"/>
          <w:bCs w:val="0"/>
          <w:highlight w:val="none"/>
          <w:shd w:val="clear" w:color="auto" w:fill="auto"/>
        </w:rPr>
        <w:t>（</w:t>
      </w:r>
      <w:r>
        <w:rPr>
          <w:rFonts w:hint="eastAsia" w:ascii="Times New Roman" w:hAnsi="Times New Roman" w:cs="Times New Roman"/>
          <w:b w:val="0"/>
          <w:bCs w:val="0"/>
          <w:highlight w:val="none"/>
          <w:shd w:val="clear" w:color="auto" w:fill="auto"/>
        </w:rPr>
        <w:t>一</w:t>
      </w:r>
      <w:r>
        <w:rPr>
          <w:rFonts w:ascii="Times New Roman" w:hAnsi="Times New Roman" w:cs="Times New Roman"/>
          <w:b w:val="0"/>
          <w:bCs w:val="0"/>
          <w:highlight w:val="none"/>
          <w:shd w:val="clear" w:color="auto" w:fill="auto"/>
        </w:rPr>
        <w:t>）</w:t>
      </w:r>
      <w:bookmarkEnd w:id="4"/>
      <w:bookmarkEnd w:id="5"/>
      <w:r>
        <w:rPr>
          <w:rFonts w:hint="eastAsia" w:ascii="Times New Roman" w:hAnsi="Times New Roman" w:cs="Times New Roman"/>
          <w:b w:val="0"/>
          <w:bCs w:val="0"/>
          <w:highlight w:val="none"/>
          <w:shd w:val="clear" w:color="auto" w:fill="auto"/>
        </w:rPr>
        <w:t>统筹兼顾引领产业高质量发展</w:t>
      </w:r>
    </w:p>
    <w:p>
      <w:pPr>
        <w:numPr>
          <w:ilvl w:val="255"/>
          <w:numId w:val="0"/>
        </w:numPr>
        <w:spacing w:line="560" w:lineRule="exact"/>
        <w:ind w:firstLine="640" w:firstLineChars="200"/>
        <w:rPr>
          <w:rFonts w:cs="Times New Roman"/>
          <w:highlight w:val="none"/>
          <w:shd w:val="clear" w:color="auto" w:fill="auto"/>
        </w:rPr>
      </w:pPr>
      <w:bookmarkStart w:id="6" w:name="_Toc27281"/>
      <w:r>
        <w:rPr>
          <w:rFonts w:hint="eastAsia" w:cs="Times New Roman"/>
          <w:highlight w:val="none"/>
          <w:shd w:val="clear" w:color="auto" w:fill="auto"/>
        </w:rPr>
        <w:t>深度对接</w:t>
      </w:r>
      <w:r>
        <w:rPr>
          <w:rFonts w:cs="Times New Roman"/>
          <w:highlight w:val="none"/>
          <w:shd w:val="clear" w:color="auto" w:fill="auto"/>
        </w:rPr>
        <w:t>现有软件企业，</w:t>
      </w:r>
      <w:r>
        <w:rPr>
          <w:rFonts w:hint="eastAsia" w:cs="Times New Roman"/>
          <w:highlight w:val="none"/>
          <w:shd w:val="clear" w:color="auto" w:fill="auto"/>
        </w:rPr>
        <w:t>梯度</w:t>
      </w:r>
      <w:r>
        <w:rPr>
          <w:rFonts w:cs="Times New Roman"/>
          <w:highlight w:val="none"/>
          <w:shd w:val="clear" w:color="auto" w:fill="auto"/>
        </w:rPr>
        <w:t>培育壮大存量企业，</w:t>
      </w:r>
      <w:r>
        <w:rPr>
          <w:rFonts w:hint="eastAsia" w:cs="Times New Roman"/>
          <w:highlight w:val="none"/>
          <w:shd w:val="clear" w:color="auto" w:fill="auto"/>
        </w:rPr>
        <w:t>精准</w:t>
      </w:r>
      <w:r>
        <w:rPr>
          <w:rFonts w:cs="Times New Roman"/>
          <w:highlight w:val="none"/>
          <w:shd w:val="clear" w:color="auto" w:fill="auto"/>
        </w:rPr>
        <w:t>摸排</w:t>
      </w:r>
      <w:r>
        <w:rPr>
          <w:rFonts w:hint="eastAsia" w:cs="Times New Roman"/>
          <w:highlight w:val="none"/>
          <w:shd w:val="clear" w:color="auto" w:fill="auto"/>
        </w:rPr>
        <w:t>区外优质企业，</w:t>
      </w:r>
      <w:r>
        <w:rPr>
          <w:rFonts w:cs="Times New Roman"/>
          <w:highlight w:val="none"/>
          <w:shd w:val="clear" w:color="auto" w:fill="auto"/>
        </w:rPr>
        <w:t>大力开展招商引资，</w:t>
      </w:r>
      <w:r>
        <w:rPr>
          <w:rFonts w:hint="eastAsia" w:cs="Times New Roman"/>
          <w:highlight w:val="none"/>
          <w:shd w:val="clear" w:color="auto" w:fill="auto"/>
        </w:rPr>
        <w:t>强化深港产业融合，</w:t>
      </w:r>
      <w:r>
        <w:rPr>
          <w:rFonts w:cs="Times New Roman"/>
          <w:highlight w:val="none"/>
          <w:shd w:val="clear" w:color="auto" w:fill="auto"/>
        </w:rPr>
        <w:t>力争引进一批</w:t>
      </w:r>
      <w:r>
        <w:rPr>
          <w:rFonts w:hint="eastAsia" w:cs="Times New Roman"/>
          <w:highlight w:val="none"/>
          <w:shd w:val="clear" w:color="auto" w:fill="auto"/>
        </w:rPr>
        <w:t>国内外</w:t>
      </w:r>
      <w:r>
        <w:rPr>
          <w:rFonts w:cs="Times New Roman"/>
          <w:highlight w:val="none"/>
          <w:shd w:val="clear" w:color="auto" w:fill="auto"/>
        </w:rPr>
        <w:t>优质软件企业</w:t>
      </w:r>
      <w:r>
        <w:rPr>
          <w:rFonts w:hint="eastAsia" w:cs="Times New Roman"/>
          <w:highlight w:val="none"/>
          <w:shd w:val="clear" w:color="auto" w:fill="auto"/>
        </w:rPr>
        <w:t>、上市企业，支持企业在我区打造软件总部基地，</w:t>
      </w:r>
      <w:r>
        <w:rPr>
          <w:rFonts w:cs="Times New Roman"/>
          <w:highlight w:val="none"/>
          <w:shd w:val="clear" w:color="auto" w:fill="auto"/>
        </w:rPr>
        <w:t>形成大中小微企业协同发展格局。</w:t>
      </w:r>
    </w:p>
    <w:p>
      <w:pPr>
        <w:numPr>
          <w:ilvl w:val="255"/>
          <w:numId w:val="0"/>
        </w:numPr>
        <w:spacing w:line="560" w:lineRule="exact"/>
        <w:ind w:firstLine="642" w:firstLineChars="200"/>
        <w:rPr>
          <w:rFonts w:ascii="仿宋_GB2312" w:hAnsi="仿宋_GB2312" w:cs="仿宋_GB2312"/>
          <w:b/>
          <w:bCs/>
          <w:szCs w:val="32"/>
          <w:highlight w:val="none"/>
          <w:shd w:val="clear" w:color="auto" w:fill="auto"/>
        </w:rPr>
      </w:pPr>
      <w:r>
        <w:rPr>
          <w:rFonts w:hint="eastAsia" w:ascii="仿宋_GB2312" w:hAnsi="仿宋_GB2312" w:cs="仿宋_GB2312"/>
          <w:b/>
          <w:bCs/>
          <w:highlight w:val="none"/>
          <w:shd w:val="clear" w:color="auto" w:fill="auto"/>
        </w:rPr>
        <w:t>1.重点培育龙头企业。</w:t>
      </w:r>
      <w:r>
        <w:rPr>
          <w:rFonts w:hint="eastAsia" w:cs="Times New Roman"/>
          <w:highlight w:val="none"/>
          <w:shd w:val="clear" w:color="auto" w:fill="auto"/>
        </w:rPr>
        <w:t>支持区内头部企业做大做强，提高企业研发能力，引导有条件的企业联合行业上下游和各类研究力量，组建体系化、任务型的创新联合体，建设国家、省、市级各类软件相关的工程技术中心、企业技术中心、重点实验室等创新载体，推动企业重大科技成果产业化。坚持“专精特新”发展，催生一批“独角兽”企业、行业“小巨人”。支持龙头企业积极构建基于开源模式的新型产业生态，发布自主开源技术项目，借助于开源模式，拓宽业务领域。鼓励企业积极开展强强联合、上下游整合等多种形式实现资源整合有效利用，迅速提升企业规模，争取更多企业进入“国家鼓励的重点软件企业”“全国软件百强企业”等名单。</w:t>
      </w:r>
      <w:r>
        <w:rPr>
          <w:rFonts w:cs="Times New Roman"/>
          <w:highlight w:val="none"/>
          <w:shd w:val="clear" w:color="auto" w:fill="auto"/>
        </w:rPr>
        <w:t>（牵头单位：区</w:t>
      </w:r>
      <w:r>
        <w:rPr>
          <w:rFonts w:hint="eastAsia" w:cs="Times New Roman"/>
          <w:highlight w:val="none"/>
          <w:shd w:val="clear" w:color="auto" w:fill="auto"/>
        </w:rPr>
        <w:t>工业和信息化局</w:t>
      </w:r>
      <w:r>
        <w:rPr>
          <w:rFonts w:cs="Times New Roman"/>
          <w:highlight w:val="none"/>
          <w:shd w:val="clear" w:color="auto" w:fill="auto"/>
        </w:rPr>
        <w:t>，配合单位：</w:t>
      </w:r>
      <w:r>
        <w:rPr>
          <w:rFonts w:hint="eastAsia" w:cs="Times New Roman"/>
          <w:highlight w:val="none"/>
          <w:shd w:val="clear" w:color="auto" w:fill="auto"/>
        </w:rPr>
        <w:t>区发展和改革局</w:t>
      </w:r>
      <w:r>
        <w:rPr>
          <w:rFonts w:cs="Times New Roman"/>
          <w:highlight w:val="none"/>
          <w:shd w:val="clear" w:color="auto" w:fill="auto"/>
        </w:rPr>
        <w:t>）</w:t>
      </w:r>
    </w:p>
    <w:p>
      <w:pPr>
        <w:numPr>
          <w:ilvl w:val="255"/>
          <w:numId w:val="0"/>
        </w:numPr>
        <w:spacing w:line="560" w:lineRule="exact"/>
        <w:ind w:firstLine="642" w:firstLineChars="200"/>
        <w:rPr>
          <w:rFonts w:cs="Times New Roman"/>
          <w:highlight w:val="none"/>
          <w:shd w:val="clear" w:color="auto" w:fill="auto"/>
        </w:rPr>
      </w:pPr>
      <w:bookmarkStart w:id="7" w:name="_Toc2866"/>
      <w:r>
        <w:rPr>
          <w:rFonts w:hint="eastAsia" w:ascii="仿宋_GB2312" w:hAnsi="仿宋_GB2312" w:cs="仿宋_GB2312"/>
          <w:b/>
          <w:bCs/>
          <w:highlight w:val="none"/>
          <w:shd w:val="clear" w:color="auto" w:fill="auto"/>
        </w:rPr>
        <w:t>2.精心培育存量企业。</w:t>
      </w:r>
      <w:r>
        <w:rPr>
          <w:rFonts w:hint="eastAsia" w:ascii="仿宋_GB2312" w:hAnsi="仿宋_GB2312" w:cs="仿宋_GB2312"/>
          <w:color w:val="000000" w:themeColor="text1"/>
          <w:highlight w:val="none"/>
          <w:shd w:val="clear" w:color="auto" w:fill="auto"/>
          <w14:textFill>
            <w14:solidFill>
              <w14:schemeClr w14:val="tx1"/>
            </w14:solidFill>
          </w14:textFill>
        </w:rPr>
        <w:t>对区内企业建立梯度培育机制，扶持一批有潜力、有自主知识产权的企业发展进一步增强核心竞争力，成为软件细分领域的核心骨干企业。鼓励企业进入上市培育库、储备库，精准开展上市辅导服务。支持本土企业以市场化方式对接融入华为、工业富联等龙头企业产业链生态，提升企业发展能级。引导同领域企业通过联合技术攻关、共同投资等方式“抱团”发展。鼓励工业企业剥离软件业务成立独立法人公司，对新纳统的企业，给与年营收1%，最高50万元的一次性奖励。</w:t>
      </w:r>
      <w:r>
        <w:rPr>
          <w:rFonts w:cs="Times New Roman"/>
          <w:highlight w:val="none"/>
          <w:shd w:val="clear" w:color="auto" w:fill="auto"/>
        </w:rPr>
        <w:t>（牵头单位：区企业服务和投资推广中心，配合单位：区工业和信息化局、区财政局）</w:t>
      </w:r>
    </w:p>
    <w:p>
      <w:pPr>
        <w:numPr>
          <w:ilvl w:val="255"/>
          <w:numId w:val="0"/>
        </w:numPr>
        <w:spacing w:line="560" w:lineRule="exact"/>
        <w:ind w:firstLine="642" w:firstLineChars="200"/>
        <w:rPr>
          <w:rFonts w:cs="Times New Roman"/>
          <w:highlight w:val="none"/>
          <w:shd w:val="clear" w:color="auto" w:fill="auto"/>
        </w:rPr>
      </w:pPr>
      <w:r>
        <w:rPr>
          <w:rFonts w:hint="eastAsia" w:ascii="仿宋_GB2312" w:hAnsi="仿宋_GB2312" w:cs="仿宋_GB2312"/>
          <w:b/>
          <w:bCs/>
          <w:highlight w:val="none"/>
          <w:shd w:val="clear" w:color="auto" w:fill="auto"/>
        </w:rPr>
        <w:t>3.</w:t>
      </w:r>
      <w:bookmarkEnd w:id="7"/>
      <w:r>
        <w:rPr>
          <w:rFonts w:hint="eastAsia" w:ascii="仿宋_GB2312" w:hAnsi="仿宋_GB2312" w:cs="仿宋_GB2312"/>
          <w:b/>
          <w:bCs/>
          <w:highlight w:val="none"/>
          <w:shd w:val="clear" w:color="auto" w:fill="auto"/>
        </w:rPr>
        <w:t>精准招引优质企业。</w:t>
      </w:r>
      <w:r>
        <w:rPr>
          <w:rFonts w:cs="Times New Roman"/>
          <w:szCs w:val="32"/>
          <w:highlight w:val="none"/>
          <w:shd w:val="clear" w:color="auto" w:fill="auto"/>
        </w:rPr>
        <w:t>依托产业大数据，持续更新全国百强软件企业行业优质软件企业名单。结合基地空间布局，重点招引基础软件、工业软件企业</w:t>
      </w:r>
      <w:r>
        <w:rPr>
          <w:rFonts w:hint="eastAsia" w:cs="Times New Roman"/>
          <w:szCs w:val="32"/>
          <w:highlight w:val="none"/>
          <w:shd w:val="clear" w:color="auto" w:fill="auto"/>
          <w:lang w:eastAsia="zh-CN"/>
        </w:rPr>
        <w:t>和鸿蒙发行版企业</w:t>
      </w:r>
      <w:r>
        <w:rPr>
          <w:rFonts w:cs="Times New Roman"/>
          <w:szCs w:val="32"/>
          <w:highlight w:val="none"/>
          <w:shd w:val="clear" w:color="auto" w:fill="auto"/>
        </w:rPr>
        <w:t>，</w:t>
      </w:r>
      <w:r>
        <w:rPr>
          <w:rFonts w:hint="eastAsia" w:cs="Times New Roman"/>
          <w:szCs w:val="32"/>
          <w:highlight w:val="none"/>
          <w:shd w:val="clear" w:color="auto" w:fill="auto"/>
        </w:rPr>
        <w:t>引入一批营收超</w:t>
      </w:r>
      <w:r>
        <w:rPr>
          <w:rFonts w:hint="eastAsia" w:ascii="仿宋_GB2312" w:hAnsi="仿宋_GB2312" w:cs="仿宋_GB2312"/>
          <w:szCs w:val="32"/>
          <w:highlight w:val="none"/>
          <w:shd w:val="clear" w:color="auto" w:fill="auto"/>
        </w:rPr>
        <w:t>10亿</w:t>
      </w:r>
      <w:r>
        <w:rPr>
          <w:rFonts w:hint="eastAsia" w:cs="Times New Roman"/>
          <w:szCs w:val="32"/>
          <w:highlight w:val="none"/>
          <w:shd w:val="clear" w:color="auto" w:fill="auto"/>
        </w:rPr>
        <w:t>的重点企业、上市企业、发展前景良好的</w:t>
      </w:r>
      <w:r>
        <w:rPr>
          <w:rFonts w:cs="Times New Roman"/>
          <w:szCs w:val="32"/>
          <w:highlight w:val="none"/>
          <w:shd w:val="clear" w:color="auto" w:fill="auto"/>
        </w:rPr>
        <w:t>新兴技术软件企业，繁荣软件产业链生态。充分发挥龙华区</w:t>
      </w:r>
      <w:r>
        <w:rPr>
          <w:rFonts w:hint="eastAsia" w:cs="Times New Roman"/>
          <w:szCs w:val="32"/>
          <w:highlight w:val="none"/>
          <w:shd w:val="clear" w:color="auto" w:fill="auto"/>
        </w:rPr>
        <w:t>支持</w:t>
      </w:r>
      <w:r>
        <w:rPr>
          <w:rFonts w:cs="Times New Roman"/>
          <w:szCs w:val="32"/>
          <w:highlight w:val="none"/>
          <w:shd w:val="clear" w:color="auto" w:fill="auto"/>
        </w:rPr>
        <w:t>软件产业</w:t>
      </w:r>
      <w:r>
        <w:rPr>
          <w:rFonts w:hint="eastAsia" w:cs="Times New Roman"/>
          <w:szCs w:val="32"/>
          <w:highlight w:val="none"/>
          <w:shd w:val="clear" w:color="auto" w:fill="auto"/>
        </w:rPr>
        <w:t>发展</w:t>
      </w:r>
      <w:r>
        <w:rPr>
          <w:rFonts w:cs="Times New Roman"/>
          <w:szCs w:val="32"/>
          <w:highlight w:val="none"/>
          <w:shd w:val="clear" w:color="auto" w:fill="auto"/>
        </w:rPr>
        <w:t>若干措施支撑力度</w:t>
      </w:r>
      <w:r>
        <w:rPr>
          <w:rFonts w:cs="Times New Roman"/>
          <w:highlight w:val="none"/>
          <w:shd w:val="clear" w:color="auto" w:fill="auto"/>
        </w:rPr>
        <w:t>，开展算力招商和产业集群招商，通过举办全球招商大会</w:t>
      </w:r>
      <w:r>
        <w:rPr>
          <w:rFonts w:hint="eastAsia" w:ascii="仿宋_GB2312" w:hAnsi="仿宋_GB2312" w:cs="仿宋_GB2312"/>
          <w:highlight w:val="none"/>
          <w:shd w:val="clear" w:color="auto" w:fill="auto"/>
        </w:rPr>
        <w:t>、1024程</w:t>
      </w:r>
      <w:r>
        <w:rPr>
          <w:rFonts w:cs="Times New Roman"/>
          <w:highlight w:val="none"/>
          <w:shd w:val="clear" w:color="auto" w:fill="auto"/>
        </w:rPr>
        <w:t>序员节</w:t>
      </w:r>
      <w:r>
        <w:rPr>
          <w:rFonts w:hint="eastAsia" w:cs="Times New Roman"/>
          <w:highlight w:val="none"/>
          <w:shd w:val="clear" w:color="auto" w:fill="auto"/>
        </w:rPr>
        <w:t>、工业软件大会</w:t>
      </w:r>
      <w:r>
        <w:rPr>
          <w:rFonts w:cs="Times New Roman"/>
          <w:highlight w:val="none"/>
          <w:shd w:val="clear" w:color="auto" w:fill="auto"/>
        </w:rPr>
        <w:t>等活动大力开展招商引资工作，跟进做好招商落地工作。国家软件和信息服务竞争力百强企业、龙华区软件与信息服务产业集群重点招商清单企业在我区落户，可报请区相关会议专题研究。（牵头单位：区企业服务和投资推广中心，配合单位：区工业和信息化局）</w:t>
      </w:r>
    </w:p>
    <w:bookmarkEnd w:id="6"/>
    <w:p>
      <w:pPr>
        <w:numPr>
          <w:ilvl w:val="255"/>
          <w:numId w:val="0"/>
        </w:numPr>
        <w:spacing w:line="560" w:lineRule="exact"/>
        <w:ind w:firstLine="642" w:firstLineChars="200"/>
        <w:rPr>
          <w:rFonts w:cs="Times New Roman"/>
          <w:highlight w:val="none"/>
          <w:shd w:val="clear" w:color="auto" w:fill="auto"/>
        </w:rPr>
      </w:pPr>
      <w:r>
        <w:rPr>
          <w:rFonts w:hint="eastAsia" w:ascii="仿宋_GB2312" w:hAnsi="仿宋_GB2312" w:cs="仿宋_GB2312"/>
          <w:b/>
          <w:bCs/>
          <w:highlight w:val="none"/>
          <w:shd w:val="clear" w:color="auto" w:fill="auto"/>
        </w:rPr>
        <w:t>4.创投孵化小微企业。</w:t>
      </w:r>
      <w:r>
        <w:rPr>
          <w:rFonts w:hint="eastAsia" w:ascii="仿宋_GB2312" w:hAnsi="仿宋_GB2312" w:cs="仿宋_GB2312"/>
          <w:shd w:val="clear" w:color="auto" w:fill="auto"/>
        </w:rPr>
        <w:t>鼓励企业、</w:t>
      </w:r>
      <w:r>
        <w:rPr>
          <w:rFonts w:cs="Times New Roman"/>
          <w:shd w:val="clear" w:color="auto" w:fill="auto"/>
        </w:rPr>
        <w:t>高校等多元主体建设孵化器、众创空间。鼓励具有丰富管理运营经验、行业影响力大的优质孵化器、众创空间运营单位，对产业基地内的孵化载体进行管理服务和品牌输出。</w:t>
      </w:r>
      <w:r>
        <w:rPr>
          <w:rFonts w:hint="eastAsia" w:cs="Times New Roman"/>
          <w:shd w:val="clear" w:color="auto" w:fill="auto"/>
        </w:rPr>
        <w:t>对入驻区级以上孵化载体的初创企业提供三个月免租期。</w:t>
      </w:r>
      <w:r>
        <w:rPr>
          <w:rFonts w:cs="Times New Roman"/>
          <w:shd w:val="clear" w:color="auto" w:fill="auto"/>
        </w:rPr>
        <w:t>对绩效评价优秀的运营单位，给予租金返还奖励。</w:t>
      </w:r>
      <w:r>
        <w:rPr>
          <w:rFonts w:cs="Times New Roman"/>
          <w:highlight w:val="none"/>
          <w:shd w:val="clear" w:color="auto" w:fill="auto"/>
        </w:rPr>
        <w:t>（牵头单位：区科技创新局，配合单位：区企业服务和投资推广中心、区工业和信息化局）</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9" w:type="dxa"/>
          </w:tcPr>
          <w:p>
            <w:pPr>
              <w:adjustRightInd w:val="0"/>
              <w:snapToGrid w:val="0"/>
              <w:spacing w:line="560" w:lineRule="exact"/>
              <w:ind w:firstLine="0" w:firstLineChars="0"/>
              <w:jc w:val="center"/>
              <w:rPr>
                <w:rFonts w:cs="Times New Roman"/>
                <w:kern w:val="0"/>
                <w:sz w:val="28"/>
                <w:szCs w:val="28"/>
                <w:highlight w:val="none"/>
                <w:shd w:val="clear" w:color="auto" w:fill="auto"/>
              </w:rPr>
            </w:pPr>
            <w:r>
              <w:rPr>
                <w:rFonts w:hint="eastAsia" w:ascii="仿宋_GB2312" w:hAnsi="仿宋_GB2312" w:cs="仿宋_GB2312"/>
                <w:b/>
                <w:bCs/>
                <w:kern w:val="0"/>
                <w:sz w:val="28"/>
                <w:szCs w:val="28"/>
                <w:highlight w:val="none"/>
                <w:shd w:val="clear" w:color="auto" w:fill="auto"/>
              </w:rPr>
              <w:t>专栏1 企业梯次培育工程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9" w:type="dxa"/>
          </w:tcPr>
          <w:p>
            <w:pPr>
              <w:widowControl/>
              <w:spacing w:line="560" w:lineRule="exact"/>
              <w:ind w:firstLine="0" w:firstLineChars="0"/>
              <w:rPr>
                <w:rFonts w:cs="Times New Roman"/>
                <w:kern w:val="0"/>
                <w:sz w:val="28"/>
                <w:szCs w:val="28"/>
                <w:highlight w:val="none"/>
                <w:shd w:val="clear" w:color="auto" w:fill="auto"/>
              </w:rPr>
            </w:pPr>
            <w:r>
              <w:rPr>
                <w:rFonts w:hint="eastAsia" w:cs="Times New Roman"/>
                <w:b/>
                <w:bCs/>
                <w:kern w:val="0"/>
                <w:sz w:val="28"/>
                <w:szCs w:val="28"/>
                <w:highlight w:val="none"/>
                <w:shd w:val="clear" w:color="auto" w:fill="auto"/>
              </w:rPr>
              <w:t>梳理小升规企业名单</w:t>
            </w:r>
            <w:r>
              <w:rPr>
                <w:rFonts w:cs="Times New Roman"/>
                <w:b/>
                <w:bCs/>
                <w:kern w:val="0"/>
                <w:sz w:val="28"/>
                <w:szCs w:val="28"/>
                <w:highlight w:val="none"/>
                <w:shd w:val="clear" w:color="auto" w:fill="auto"/>
              </w:rPr>
              <w:t>。</w:t>
            </w:r>
            <w:r>
              <w:rPr>
                <w:rFonts w:hint="eastAsia" w:cs="Times New Roman"/>
                <w:kern w:val="0"/>
                <w:sz w:val="28"/>
                <w:szCs w:val="28"/>
                <w:highlight w:val="none"/>
                <w:shd w:val="clear" w:color="auto" w:fill="auto"/>
              </w:rPr>
              <w:t>提升产业基地</w:t>
            </w:r>
            <w:r>
              <w:rPr>
                <w:rFonts w:cs="Times New Roman"/>
                <w:kern w:val="0"/>
                <w:sz w:val="28"/>
                <w:szCs w:val="28"/>
                <w:highlight w:val="none"/>
                <w:shd w:val="clear" w:color="auto" w:fill="auto"/>
              </w:rPr>
              <w:t>孵化器、众创空间孵化能力，</w:t>
            </w:r>
            <w:r>
              <w:rPr>
                <w:rFonts w:hint="eastAsia" w:cs="Times New Roman"/>
                <w:kern w:val="0"/>
                <w:sz w:val="28"/>
                <w:szCs w:val="28"/>
                <w:highlight w:val="none"/>
                <w:shd w:val="clear" w:color="auto" w:fill="auto"/>
              </w:rPr>
              <w:t>建立小升规企业服务名单，做好融资服务、政策</w:t>
            </w:r>
            <w:r>
              <w:rPr>
                <w:rFonts w:cs="Times New Roman"/>
                <w:kern w:val="0"/>
                <w:sz w:val="28"/>
                <w:szCs w:val="28"/>
                <w:highlight w:val="none"/>
                <w:shd w:val="clear" w:color="auto" w:fill="auto"/>
              </w:rPr>
              <w:t>引导</w:t>
            </w:r>
            <w:r>
              <w:rPr>
                <w:rFonts w:hint="eastAsia" w:cs="Times New Roman"/>
                <w:kern w:val="0"/>
                <w:sz w:val="28"/>
                <w:szCs w:val="28"/>
                <w:highlight w:val="none"/>
                <w:shd w:val="clear" w:color="auto" w:fill="auto"/>
              </w:rPr>
              <w:t>、升规纳统专项服务。</w:t>
            </w:r>
          </w:p>
          <w:p>
            <w:pPr>
              <w:widowControl/>
              <w:spacing w:line="560" w:lineRule="exact"/>
              <w:ind w:firstLine="0" w:firstLineChars="0"/>
              <w:rPr>
                <w:rFonts w:cs="Times New Roman"/>
                <w:b/>
                <w:bCs/>
                <w:kern w:val="0"/>
                <w:sz w:val="28"/>
                <w:szCs w:val="28"/>
                <w:highlight w:val="none"/>
                <w:shd w:val="clear" w:color="auto" w:fill="auto"/>
              </w:rPr>
            </w:pPr>
            <w:r>
              <w:rPr>
                <w:rFonts w:hint="eastAsia" w:cs="Times New Roman"/>
                <w:b/>
                <w:bCs/>
                <w:kern w:val="0"/>
                <w:sz w:val="28"/>
                <w:szCs w:val="28"/>
                <w:highlight w:val="none"/>
                <w:shd w:val="clear" w:color="auto" w:fill="auto"/>
              </w:rPr>
              <w:t>贴身服务规上软件企业</w:t>
            </w:r>
            <w:r>
              <w:rPr>
                <w:rFonts w:cs="Times New Roman"/>
                <w:b/>
                <w:bCs/>
                <w:kern w:val="0"/>
                <w:sz w:val="28"/>
                <w:szCs w:val="28"/>
                <w:highlight w:val="none"/>
                <w:shd w:val="clear" w:color="auto" w:fill="auto"/>
              </w:rPr>
              <w:t>。</w:t>
            </w:r>
            <w:r>
              <w:rPr>
                <w:rFonts w:cs="Times New Roman"/>
                <w:kern w:val="0"/>
                <w:sz w:val="28"/>
                <w:szCs w:val="28"/>
                <w:highlight w:val="none"/>
                <w:shd w:val="clear" w:color="auto" w:fill="auto"/>
              </w:rPr>
              <w:t>建立规上企业</w:t>
            </w:r>
            <w:r>
              <w:rPr>
                <w:rFonts w:hint="eastAsia" w:cs="Times New Roman"/>
                <w:kern w:val="0"/>
                <w:sz w:val="28"/>
                <w:szCs w:val="28"/>
                <w:highlight w:val="none"/>
                <w:shd w:val="clear" w:color="auto" w:fill="auto"/>
              </w:rPr>
              <w:t>服务清单</w:t>
            </w:r>
            <w:r>
              <w:rPr>
                <w:rFonts w:cs="Times New Roman"/>
                <w:kern w:val="0"/>
                <w:sz w:val="28"/>
                <w:szCs w:val="28"/>
                <w:highlight w:val="none"/>
                <w:shd w:val="clear" w:color="auto" w:fill="auto"/>
              </w:rPr>
              <w:t>，对入库企业</w:t>
            </w:r>
            <w:r>
              <w:rPr>
                <w:rFonts w:hint="eastAsia" w:cs="Times New Roman"/>
                <w:kern w:val="0"/>
                <w:sz w:val="28"/>
                <w:szCs w:val="28"/>
                <w:highlight w:val="none"/>
                <w:shd w:val="clear" w:color="auto" w:fill="auto"/>
              </w:rPr>
              <w:t>营收、</w:t>
            </w:r>
            <w:r>
              <w:rPr>
                <w:rFonts w:cs="Times New Roman"/>
                <w:kern w:val="0"/>
                <w:sz w:val="28"/>
                <w:szCs w:val="28"/>
                <w:highlight w:val="none"/>
                <w:shd w:val="clear" w:color="auto" w:fill="auto"/>
              </w:rPr>
              <w:t>潜力、资源</w:t>
            </w:r>
            <w:r>
              <w:rPr>
                <w:rFonts w:hint="eastAsia" w:cs="Times New Roman"/>
                <w:kern w:val="0"/>
                <w:sz w:val="28"/>
                <w:szCs w:val="28"/>
                <w:highlight w:val="none"/>
                <w:shd w:val="clear" w:color="auto" w:fill="auto"/>
              </w:rPr>
              <w:t>全面摸底，通过稳增长专项政策加大</w:t>
            </w:r>
            <w:r>
              <w:rPr>
                <w:rFonts w:cs="Times New Roman"/>
                <w:kern w:val="0"/>
                <w:sz w:val="28"/>
                <w:szCs w:val="28"/>
                <w:highlight w:val="none"/>
                <w:shd w:val="clear" w:color="auto" w:fill="auto"/>
              </w:rPr>
              <w:t>扶持力度，支持企业</w:t>
            </w:r>
            <w:r>
              <w:rPr>
                <w:rFonts w:hint="eastAsia" w:cs="Times New Roman"/>
                <w:kern w:val="0"/>
                <w:sz w:val="28"/>
                <w:szCs w:val="28"/>
                <w:highlight w:val="none"/>
                <w:shd w:val="clear" w:color="auto" w:fill="auto"/>
              </w:rPr>
              <w:t>快速发展</w:t>
            </w:r>
            <w:r>
              <w:rPr>
                <w:rFonts w:cs="Times New Roman"/>
                <w:kern w:val="0"/>
                <w:sz w:val="28"/>
                <w:szCs w:val="28"/>
                <w:highlight w:val="none"/>
                <w:shd w:val="clear" w:color="auto" w:fill="auto"/>
              </w:rPr>
              <w:t>。</w:t>
            </w:r>
          </w:p>
          <w:p>
            <w:pPr>
              <w:widowControl/>
              <w:spacing w:line="560" w:lineRule="exact"/>
              <w:ind w:firstLine="0" w:firstLineChars="0"/>
              <w:rPr>
                <w:rFonts w:cs="Times New Roman"/>
                <w:b/>
                <w:bCs/>
                <w:kern w:val="0"/>
                <w:sz w:val="28"/>
                <w:szCs w:val="28"/>
                <w:highlight w:val="none"/>
                <w:shd w:val="clear" w:color="auto" w:fill="auto"/>
              </w:rPr>
            </w:pPr>
            <w:r>
              <w:rPr>
                <w:rFonts w:hint="eastAsia" w:ascii="仿宋_GB2312" w:hAnsi="仿宋_GB2312" w:cs="仿宋_GB2312"/>
                <w:b/>
                <w:bCs/>
                <w:kern w:val="0"/>
                <w:sz w:val="28"/>
                <w:szCs w:val="28"/>
                <w:highlight w:val="none"/>
                <w:shd w:val="clear" w:color="auto" w:fill="auto"/>
              </w:rPr>
              <w:t>提升“专精特新”企业规模</w:t>
            </w:r>
            <w:r>
              <w:rPr>
                <w:rFonts w:cs="Times New Roman"/>
                <w:b/>
                <w:bCs/>
                <w:kern w:val="0"/>
                <w:sz w:val="28"/>
                <w:szCs w:val="28"/>
                <w:highlight w:val="none"/>
                <w:shd w:val="clear" w:color="auto" w:fill="auto"/>
              </w:rPr>
              <w:t>。</w:t>
            </w:r>
            <w:r>
              <w:rPr>
                <w:rFonts w:cs="Times New Roman"/>
                <w:kern w:val="0"/>
                <w:sz w:val="28"/>
                <w:szCs w:val="28"/>
                <w:highlight w:val="none"/>
                <w:shd w:val="clear" w:color="auto" w:fill="auto"/>
              </w:rPr>
              <w:t>建立“专精特新”企业培育库，在企业融资、创新成果转化与应用、知识产权申报等领域为入库企业提供“一对一”跟踪指导服务，争取培育一批具有核心竞争力的软件企业。</w:t>
            </w:r>
          </w:p>
          <w:p>
            <w:pPr>
              <w:widowControl/>
              <w:spacing w:line="560" w:lineRule="exact"/>
              <w:ind w:firstLine="0" w:firstLineChars="0"/>
              <w:rPr>
                <w:rFonts w:cs="Times New Roman"/>
                <w:kern w:val="0"/>
                <w:sz w:val="28"/>
                <w:szCs w:val="28"/>
                <w:highlight w:val="none"/>
                <w:shd w:val="clear" w:color="auto" w:fill="auto"/>
              </w:rPr>
            </w:pPr>
            <w:r>
              <w:rPr>
                <w:rFonts w:hint="eastAsia" w:cs="Times New Roman"/>
                <w:b/>
                <w:bCs/>
                <w:kern w:val="0"/>
                <w:sz w:val="28"/>
                <w:szCs w:val="28"/>
                <w:highlight w:val="none"/>
                <w:shd w:val="clear" w:color="auto" w:fill="auto"/>
              </w:rPr>
              <w:t>推动数字产业化发展</w:t>
            </w:r>
            <w:r>
              <w:rPr>
                <w:rFonts w:cs="Times New Roman"/>
                <w:b/>
                <w:bCs/>
                <w:kern w:val="0"/>
                <w:sz w:val="28"/>
                <w:szCs w:val="28"/>
                <w:highlight w:val="none"/>
                <w:shd w:val="clear" w:color="auto" w:fill="auto"/>
              </w:rPr>
              <w:t>。</w:t>
            </w:r>
            <w:r>
              <w:rPr>
                <w:rFonts w:hint="eastAsia" w:cs="Times New Roman"/>
                <w:kern w:val="0"/>
                <w:sz w:val="28"/>
                <w:szCs w:val="28"/>
                <w:highlight w:val="none"/>
                <w:shd w:val="clear" w:color="auto" w:fill="auto"/>
              </w:rPr>
              <w:t>鼓励非软件企业剥离软件业务，支持高端软件产业链上下游加强合作，投资设立具有独立法人资格的软件企业。对大型工业企业、重点行业企业开展专题指导服务，鼓励企业将自身软件能力产品化、市场化。</w:t>
            </w:r>
          </w:p>
        </w:tc>
      </w:tr>
    </w:tbl>
    <w:p>
      <w:pPr>
        <w:pStyle w:val="5"/>
        <w:keepNext w:val="0"/>
        <w:keepLines w:val="0"/>
        <w:spacing w:line="560" w:lineRule="exact"/>
        <w:ind w:firstLine="640"/>
        <w:rPr>
          <w:rFonts w:ascii="Times New Roman" w:hAnsi="Times New Roman" w:cs="Times New Roman"/>
          <w:b w:val="0"/>
          <w:bCs w:val="0"/>
          <w:highlight w:val="none"/>
          <w:shd w:val="clear" w:color="auto" w:fill="auto"/>
        </w:rPr>
      </w:pPr>
      <w:bookmarkStart w:id="8" w:name="_Toc17455"/>
      <w:bookmarkStart w:id="9" w:name="_Toc23398"/>
      <w:r>
        <w:rPr>
          <w:rFonts w:ascii="Times New Roman" w:hAnsi="Times New Roman" w:cs="Times New Roman"/>
          <w:b w:val="0"/>
          <w:bCs w:val="0"/>
          <w:highlight w:val="none"/>
          <w:shd w:val="clear" w:color="auto" w:fill="auto"/>
        </w:rPr>
        <w:t>（</w:t>
      </w:r>
      <w:r>
        <w:rPr>
          <w:rFonts w:hint="eastAsia" w:ascii="Times New Roman" w:hAnsi="Times New Roman" w:cs="Times New Roman"/>
          <w:b w:val="0"/>
          <w:bCs w:val="0"/>
          <w:highlight w:val="none"/>
          <w:shd w:val="clear" w:color="auto" w:fill="auto"/>
        </w:rPr>
        <w:t>二</w:t>
      </w:r>
      <w:r>
        <w:rPr>
          <w:rFonts w:ascii="Times New Roman" w:hAnsi="Times New Roman" w:cs="Times New Roman"/>
          <w:b w:val="0"/>
          <w:bCs w:val="0"/>
          <w:highlight w:val="none"/>
          <w:shd w:val="clear" w:color="auto" w:fill="auto"/>
        </w:rPr>
        <w:t>）</w:t>
      </w:r>
      <w:r>
        <w:rPr>
          <w:rFonts w:hint="eastAsia" w:ascii="Times New Roman" w:hAnsi="Times New Roman" w:cs="Times New Roman"/>
          <w:b w:val="0"/>
          <w:bCs w:val="0"/>
          <w:highlight w:val="none"/>
          <w:shd w:val="clear" w:color="auto" w:fill="auto"/>
        </w:rPr>
        <w:t>引培并举构建多层次人才梯队</w:t>
      </w:r>
      <w:bookmarkEnd w:id="8"/>
      <w:bookmarkEnd w:id="9"/>
    </w:p>
    <w:p>
      <w:pPr>
        <w:spacing w:line="560" w:lineRule="exact"/>
        <w:ind w:firstLine="640"/>
        <w:rPr>
          <w:rFonts w:cs="Times New Roman"/>
          <w:highlight w:val="none"/>
          <w:shd w:val="clear" w:color="auto" w:fill="auto"/>
        </w:rPr>
      </w:pPr>
      <w:bookmarkStart w:id="10" w:name="_Toc17458"/>
      <w:r>
        <w:rPr>
          <w:rFonts w:cs="Times New Roman"/>
          <w:highlight w:val="none"/>
          <w:shd w:val="clear" w:color="auto" w:fill="auto"/>
        </w:rPr>
        <w:t>围绕软件产业领军人才、创新人才、专业人才等，加强引进海内外高层次人才和团队，加快特色化软件人才培养体系建设，创新人才培养模式，形成</w:t>
      </w:r>
      <w:r>
        <w:rPr>
          <w:rFonts w:hint="eastAsia" w:cs="Times New Roman"/>
          <w:highlight w:val="none"/>
          <w:shd w:val="clear" w:color="auto" w:fill="auto"/>
        </w:rPr>
        <w:t>科学合理的</w:t>
      </w:r>
      <w:r>
        <w:rPr>
          <w:rFonts w:cs="Times New Roman"/>
          <w:highlight w:val="none"/>
          <w:shd w:val="clear" w:color="auto" w:fill="auto"/>
        </w:rPr>
        <w:t>软件人才梯队。</w:t>
      </w:r>
    </w:p>
    <w:p>
      <w:pPr>
        <w:spacing w:line="560" w:lineRule="exact"/>
        <w:ind w:firstLine="640"/>
        <w:rPr>
          <w:rFonts w:ascii="仿宋_GB2312" w:hAnsi="仿宋_GB2312" w:cs="仿宋_GB2312"/>
          <w:highlight w:val="none"/>
          <w:shd w:val="clear" w:color="auto" w:fill="auto"/>
        </w:rPr>
      </w:pPr>
      <w:r>
        <w:rPr>
          <w:rFonts w:hint="eastAsia" w:ascii="仿宋_GB2312" w:hAnsi="仿宋_GB2312" w:cs="仿宋_GB2312"/>
          <w:b/>
          <w:bCs/>
          <w:highlight w:val="none"/>
          <w:shd w:val="clear" w:color="auto" w:fill="auto"/>
        </w:rPr>
        <w:t>1.全面加强人才</w:t>
      </w:r>
      <w:bookmarkEnd w:id="10"/>
      <w:r>
        <w:rPr>
          <w:rFonts w:hint="eastAsia" w:ascii="仿宋_GB2312" w:hAnsi="仿宋_GB2312" w:cs="仿宋_GB2312"/>
          <w:b/>
          <w:bCs/>
          <w:highlight w:val="none"/>
          <w:shd w:val="clear" w:color="auto" w:fill="auto"/>
        </w:rPr>
        <w:t>招引力度。</w:t>
      </w:r>
      <w:r>
        <w:rPr>
          <w:rFonts w:hint="eastAsia" w:ascii="仿宋_GB2312" w:hAnsi="仿宋_GB2312" w:cs="仿宋_GB2312"/>
          <w:highlight w:val="none"/>
          <w:shd w:val="clear" w:color="auto" w:fill="auto"/>
        </w:rPr>
        <w:t>深入实施高层次人才引进培育,持续引进创新创业领军人才和团队、软件架构师和软件测试工程师，进一步强化领军人才集聚优势。鼓励龙头企业和科研机构培育引进操作系统、数据库、中间件、支撑工具软件等领域的海内外高层次人才和创新团队。支持国家工业信息安全发展研究中心建设大湾区（深圳）科技成果转移转化基地，积极引导香港和国外高校项目团队在深圳北软件产业基地转化科技成果。通过举办1024程序员节等活动打响数字龙华知名度，支持开展线上招聘会，积极组织本地软件企业面向世界200强院校开展招聘，以政策吸引全球软件相关专业毕业生来龙华发展。（牵头单位：区人力资源局、区工业和信息化局，配合单位：区科技创新局）</w:t>
      </w:r>
      <w:bookmarkStart w:id="11" w:name="_Toc28296"/>
    </w:p>
    <w:p>
      <w:pPr>
        <w:spacing w:line="560" w:lineRule="exact"/>
        <w:ind w:firstLine="640"/>
        <w:rPr>
          <w:rFonts w:ascii="仿宋_GB2312" w:hAnsi="仿宋_GB2312" w:cs="仿宋_GB2312"/>
          <w:highlight w:val="none"/>
          <w:shd w:val="clear" w:color="auto" w:fill="auto"/>
        </w:rPr>
      </w:pPr>
      <w:r>
        <w:rPr>
          <w:rFonts w:hint="eastAsia" w:ascii="仿宋_GB2312" w:hAnsi="仿宋_GB2312" w:cs="仿宋_GB2312"/>
          <w:b/>
          <w:bCs/>
          <w:highlight w:val="none"/>
          <w:shd w:val="clear" w:color="auto" w:fill="auto"/>
        </w:rPr>
        <w:t>2.持续优化人才培养</w:t>
      </w:r>
      <w:bookmarkEnd w:id="11"/>
      <w:r>
        <w:rPr>
          <w:rFonts w:hint="eastAsia" w:ascii="仿宋_GB2312" w:hAnsi="仿宋_GB2312" w:cs="仿宋_GB2312"/>
          <w:b/>
          <w:bCs/>
          <w:highlight w:val="none"/>
          <w:shd w:val="clear" w:color="auto" w:fill="auto"/>
        </w:rPr>
        <w:t>模式</w:t>
      </w:r>
      <w:r>
        <w:rPr>
          <w:rFonts w:cs="Times New Roman"/>
          <w:b/>
          <w:bCs/>
          <w:highlight w:val="none"/>
          <w:shd w:val="clear" w:color="auto" w:fill="auto"/>
        </w:rPr>
        <w:t>。</w:t>
      </w:r>
      <w:r>
        <w:rPr>
          <w:rFonts w:hint="eastAsia" w:ascii="仿宋_GB2312" w:hAnsi="仿宋_GB2312" w:cs="仿宋_GB2312"/>
          <w:highlight w:val="none"/>
          <w:shd w:val="clear" w:color="auto" w:fill="auto"/>
        </w:rPr>
        <w:t>积极探索人才培养“多元模式”，支持电子科技大学（深圳）高等研究院等重点院校和科研院所与龙头企业共建新型软件工程师学院、特色化示范性软件学院，引导中职、技工院校面向产业发展需求开设产业学院、订单班、冠名班。支持校企联合打造实训基地，面向在校学生和企业在职人员提供前沿科技知识的理论进修和实操训练。支持华为、深算院、深圳赛昇等单位建设国产化工业软件人才培养基地</w:t>
      </w:r>
      <w:r>
        <w:rPr>
          <w:rFonts w:hint="eastAsia" w:ascii="仿宋_GB2312" w:hAnsi="仿宋_GB2312" w:cs="仿宋_GB2312"/>
          <w:highlight w:val="none"/>
          <w:shd w:val="clear" w:color="auto" w:fill="auto"/>
          <w:lang w:val="en-US" w:eastAsia="zh-CN"/>
        </w:rPr>
        <w:t>和</w:t>
      </w:r>
      <w:r>
        <w:rPr>
          <w:rFonts w:hint="eastAsia" w:ascii="仿宋_GB2312" w:hAnsi="仿宋_GB2312" w:cs="仿宋_GB2312"/>
          <w:highlight w:val="none"/>
          <w:shd w:val="clear" w:color="auto" w:fill="auto"/>
          <w:lang w:eastAsia="zh-CN"/>
        </w:rPr>
        <w:t>鸿蒙、欧拉开发者学院</w:t>
      </w:r>
      <w:r>
        <w:rPr>
          <w:rFonts w:hint="eastAsia" w:ascii="仿宋_GB2312" w:hAnsi="仿宋_GB2312" w:cs="仿宋_GB2312"/>
          <w:highlight w:val="none"/>
          <w:shd w:val="clear" w:color="auto" w:fill="auto"/>
        </w:rPr>
        <w:t>，联合区域院校、企业，建立开放型区域产教融合实践中心，形成可复制、可推广的新经验新范</w:t>
      </w:r>
      <w:r>
        <w:rPr>
          <w:rFonts w:hint="eastAsia" w:ascii="仿宋_GB2312" w:hAnsi="仿宋_GB2312" w:cs="仿宋_GB2312"/>
          <w:color w:val="000000" w:themeColor="text1"/>
          <w:highlight w:val="none"/>
          <w:shd w:val="clear" w:color="auto" w:fill="auto"/>
          <w14:textFill>
            <w14:solidFill>
              <w14:schemeClr w14:val="tx1"/>
            </w14:solidFill>
          </w14:textFill>
        </w:rPr>
        <w:t>式。</w:t>
      </w:r>
      <w:r>
        <w:rPr>
          <w:rFonts w:hint="eastAsia" w:ascii="仿宋_GB2312" w:hAnsi="仿宋_GB2312" w:cs="仿宋_GB2312"/>
          <w:highlight w:val="none"/>
          <w:shd w:val="clear" w:color="auto" w:fill="auto"/>
        </w:rPr>
        <w:t>（牵头单位：区人力资源局，配合单位：区工业和信息化局）</w:t>
      </w:r>
    </w:p>
    <w:p>
      <w:pPr>
        <w:spacing w:line="560" w:lineRule="exact"/>
        <w:ind w:firstLine="640"/>
        <w:rPr>
          <w:highlight w:val="none"/>
          <w:shd w:val="clear" w:color="auto" w:fill="auto"/>
        </w:rPr>
      </w:pPr>
      <w:r>
        <w:rPr>
          <w:rFonts w:hint="eastAsia" w:ascii="仿宋_GB2312" w:hAnsi="仿宋_GB2312" w:cs="仿宋_GB2312"/>
          <w:b/>
          <w:bCs/>
          <w:highlight w:val="none"/>
          <w:shd w:val="clear" w:color="auto" w:fill="auto"/>
        </w:rPr>
        <w:t>3.聚力</w:t>
      </w:r>
      <w:r>
        <w:rPr>
          <w:rFonts w:hint="eastAsia" w:ascii="仿宋_GB2312" w:hAnsi="仿宋_GB2312" w:cs="仿宋_GB2312"/>
          <w:b/>
          <w:bCs/>
          <w:szCs w:val="32"/>
          <w:highlight w:val="none"/>
          <w:shd w:val="clear" w:color="auto" w:fill="auto"/>
        </w:rPr>
        <w:t>打造宜居宜业1024人才社区。</w:t>
      </w:r>
      <w:r>
        <w:rPr>
          <w:rFonts w:hint="eastAsia" w:ascii="仿宋_GB2312" w:hAnsi="仿宋_GB2312" w:cs="仿宋_GB2312"/>
          <w:highlight w:val="none"/>
          <w:shd w:val="clear" w:color="auto" w:fill="auto"/>
        </w:rPr>
        <w:t>统筹推进</w:t>
      </w:r>
      <w:r>
        <w:rPr>
          <w:rFonts w:hint="eastAsia" w:ascii="仿宋_GB2312" w:hAnsi="仿宋_GB2312" w:cs="仿宋_GB2312"/>
          <w:highlight w:val="none"/>
          <w:shd w:val="clear" w:color="auto" w:fill="auto"/>
          <w:lang w:eastAsia="zh-CN"/>
        </w:rPr>
        <w:t>白石龙社区、红山</w:t>
      </w:r>
      <w:r>
        <w:rPr>
          <w:rFonts w:hint="eastAsia" w:ascii="仿宋_GB2312" w:hAnsi="仿宋_GB2312" w:cs="仿宋_GB2312"/>
          <w:highlight w:val="none"/>
          <w:shd w:val="clear" w:color="auto" w:fill="auto"/>
        </w:rPr>
        <w:t>社区、清湖社区、清华社区等社区城中村公寓式改造，为程序员打造安心、暖心、舒心的人才公寓，实现“拎包入住”，打造低成本、高品质人才空间。设置人才书房、程序员驿站和研修室，打造网红艺术中心、数字书店等广受年轻人欢迎的休闲业态，为程序员的交流互动和生活娱乐提供更多可能性。重点保障软件总部企业高级管理人员、核心技术人员、研发人员的子女入学、医疗保健等民生诉求。重点解决已纳入保障类别的软件企业人才的住房问题，结合龙华区房源及企业需求，对符合条件的软件企业提供人才保障性住房</w:t>
      </w:r>
      <w:r>
        <w:rPr>
          <w:rFonts w:hint="eastAsia" w:ascii="仿宋_GB2312" w:hAnsi="仿宋_GB2312" w:cs="仿宋_GB2312"/>
          <w:szCs w:val="32"/>
          <w:highlight w:val="none"/>
          <w:shd w:val="clear" w:color="auto" w:fill="auto"/>
        </w:rPr>
        <w:t>，对区政府重点引进的关键项目，可由区政府相关会议研究审定资助事宜。</w:t>
      </w:r>
      <w:r>
        <w:rPr>
          <w:rFonts w:hint="eastAsia" w:ascii="仿宋_GB2312" w:hAnsi="仿宋_GB2312" w:cs="仿宋_GB2312"/>
          <w:highlight w:val="none"/>
          <w:shd w:val="clear" w:color="auto" w:fill="auto"/>
        </w:rPr>
        <w:t>（牵头单位：区住房建设局、龙华街道、民治街道，配合单位：区工业和信息化局）</w:t>
      </w:r>
    </w:p>
    <w:p>
      <w:pPr>
        <w:pStyle w:val="6"/>
        <w:numPr>
          <w:ilvl w:val="255"/>
          <w:numId w:val="0"/>
        </w:numPr>
        <w:spacing w:line="560" w:lineRule="exact"/>
        <w:ind w:firstLine="642" w:firstLineChars="200"/>
        <w:rPr>
          <w:highlight w:val="none"/>
          <w:shd w:val="clear" w:color="auto" w:fill="auto"/>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9" w:type="dxa"/>
          </w:tcPr>
          <w:p>
            <w:pPr>
              <w:adjustRightInd w:val="0"/>
              <w:snapToGrid w:val="0"/>
              <w:spacing w:line="560" w:lineRule="exact"/>
              <w:ind w:firstLine="0" w:firstLineChars="0"/>
              <w:jc w:val="center"/>
              <w:rPr>
                <w:rFonts w:cs="Times New Roman"/>
                <w:kern w:val="0"/>
                <w:sz w:val="28"/>
                <w:szCs w:val="28"/>
                <w:highlight w:val="none"/>
                <w:shd w:val="clear" w:color="auto" w:fill="auto"/>
              </w:rPr>
            </w:pPr>
            <w:bookmarkStart w:id="12" w:name="_Toc5028"/>
            <w:bookmarkStart w:id="13" w:name="_Toc21620"/>
            <w:r>
              <w:rPr>
                <w:rFonts w:hint="eastAsia" w:ascii="仿宋_GB2312" w:hAnsi="仿宋_GB2312" w:cs="仿宋_GB2312"/>
                <w:b/>
                <w:bCs/>
                <w:kern w:val="0"/>
                <w:sz w:val="28"/>
                <w:szCs w:val="28"/>
                <w:highlight w:val="none"/>
                <w:shd w:val="clear" w:color="auto" w:fill="auto"/>
              </w:rPr>
              <w:t>专栏2梯度人才构建工程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9" w:type="dxa"/>
          </w:tcPr>
          <w:p>
            <w:pPr>
              <w:widowControl/>
              <w:spacing w:line="560" w:lineRule="exact"/>
              <w:ind w:firstLine="0" w:firstLineChars="0"/>
              <w:rPr>
                <w:rFonts w:cs="Times New Roman"/>
                <w:kern w:val="0"/>
                <w:sz w:val="28"/>
                <w:szCs w:val="28"/>
                <w:highlight w:val="none"/>
                <w:shd w:val="clear" w:color="auto" w:fill="auto"/>
              </w:rPr>
            </w:pPr>
            <w:r>
              <w:rPr>
                <w:rFonts w:hint="eastAsia" w:cs="Times New Roman"/>
                <w:b/>
                <w:bCs/>
                <w:kern w:val="0"/>
                <w:sz w:val="28"/>
                <w:szCs w:val="28"/>
                <w:highlight w:val="none"/>
                <w:shd w:val="clear" w:color="auto" w:fill="auto"/>
              </w:rPr>
              <w:t>培养行业实训</w:t>
            </w:r>
            <w:r>
              <w:rPr>
                <w:rFonts w:cs="Times New Roman"/>
                <w:b/>
                <w:bCs/>
                <w:kern w:val="0"/>
                <w:sz w:val="28"/>
                <w:szCs w:val="28"/>
                <w:highlight w:val="none"/>
                <w:shd w:val="clear" w:color="auto" w:fill="auto"/>
              </w:rPr>
              <w:t>人才。</w:t>
            </w:r>
            <w:r>
              <w:rPr>
                <w:rFonts w:hint="eastAsia" w:cs="Times New Roman"/>
                <w:kern w:val="0"/>
                <w:sz w:val="28"/>
                <w:szCs w:val="28"/>
                <w:highlight w:val="none"/>
                <w:shd w:val="clear" w:color="auto" w:fill="auto"/>
              </w:rPr>
              <w:t>推动华为、深算院、深圳赛昇等单位在龙华建设国产化工业软件人才培养基地和鸿蒙、鲲鹏人才实训基地，支持龙华新时代技能人才学校开展软件技能实训，探索双师定向培育班、基地选修实训班、理论进修班。以国产软件课程进校园、举办技术沙龙、院校企业人才双选、开展线上线下教学等形式，形成可复制、可推广的新经验新范式，培养适合产业需要的软件科技人才与跨界高层次人才，服务龙华区制造业数字化转型。</w:t>
            </w:r>
          </w:p>
          <w:p>
            <w:pPr>
              <w:widowControl/>
              <w:spacing w:line="560" w:lineRule="exact"/>
              <w:ind w:firstLine="0" w:firstLineChars="0"/>
              <w:rPr>
                <w:rFonts w:cs="Times New Roman"/>
                <w:b/>
                <w:bCs/>
                <w:kern w:val="0"/>
                <w:sz w:val="28"/>
                <w:szCs w:val="22"/>
                <w:highlight w:val="none"/>
                <w:shd w:val="clear" w:color="auto" w:fill="auto"/>
              </w:rPr>
            </w:pPr>
            <w:r>
              <w:rPr>
                <w:rFonts w:cs="Times New Roman"/>
                <w:b/>
                <w:bCs/>
                <w:sz w:val="28"/>
                <w:szCs w:val="22"/>
                <w:highlight w:val="none"/>
                <w:shd w:val="clear" w:color="auto" w:fill="auto"/>
              </w:rPr>
              <w:t>吸引高校毕业生</w:t>
            </w:r>
            <w:r>
              <w:rPr>
                <w:rFonts w:cs="Times New Roman"/>
                <w:sz w:val="28"/>
                <w:szCs w:val="22"/>
                <w:highlight w:val="none"/>
                <w:shd w:val="clear" w:color="auto" w:fill="auto"/>
              </w:rPr>
              <w:t>。</w:t>
            </w:r>
            <w:r>
              <w:rPr>
                <w:rFonts w:cs="Times New Roman"/>
                <w:kern w:val="0"/>
                <w:sz w:val="28"/>
                <w:szCs w:val="22"/>
                <w:highlight w:val="none"/>
                <w:shd w:val="clear" w:color="auto" w:fill="auto"/>
              </w:rPr>
              <w:t>积极组织本地软件企业开展校园招聘宣讲活动，</w:t>
            </w:r>
            <w:r>
              <w:rPr>
                <w:rFonts w:hint="eastAsia" w:cs="Times New Roman"/>
                <w:kern w:val="0"/>
                <w:sz w:val="28"/>
                <w:szCs w:val="22"/>
                <w:highlight w:val="none"/>
                <w:shd w:val="clear" w:color="auto" w:fill="auto"/>
              </w:rPr>
              <w:t>鼓励高校和科研机构在我区设立博士后流动站，</w:t>
            </w:r>
            <w:r>
              <w:rPr>
                <w:rFonts w:cs="Times New Roman"/>
                <w:kern w:val="0"/>
                <w:sz w:val="28"/>
                <w:szCs w:val="22"/>
                <w:highlight w:val="none"/>
                <w:shd w:val="clear" w:color="auto" w:fill="auto"/>
              </w:rPr>
              <w:t>吸引重点高校软件及信息技术服务相关专业毕业生来</w:t>
            </w:r>
            <w:r>
              <w:rPr>
                <w:rFonts w:hint="eastAsia" w:cs="Times New Roman"/>
                <w:kern w:val="0"/>
                <w:sz w:val="28"/>
                <w:szCs w:val="22"/>
                <w:highlight w:val="none"/>
                <w:shd w:val="clear" w:color="auto" w:fill="auto"/>
              </w:rPr>
              <w:t>龙华发展</w:t>
            </w:r>
            <w:r>
              <w:rPr>
                <w:rFonts w:cs="Times New Roman"/>
                <w:kern w:val="0"/>
                <w:sz w:val="28"/>
                <w:szCs w:val="22"/>
                <w:highlight w:val="none"/>
                <w:shd w:val="clear" w:color="auto" w:fill="auto"/>
              </w:rPr>
              <w:t>。</w:t>
            </w:r>
          </w:p>
          <w:p>
            <w:pPr>
              <w:widowControl/>
              <w:spacing w:line="560" w:lineRule="exact"/>
              <w:ind w:firstLine="0" w:firstLineChars="0"/>
              <w:rPr>
                <w:rFonts w:cs="Times New Roman"/>
                <w:kern w:val="0"/>
                <w:sz w:val="28"/>
                <w:szCs w:val="28"/>
                <w:highlight w:val="none"/>
                <w:shd w:val="clear" w:color="auto" w:fill="auto"/>
              </w:rPr>
            </w:pPr>
            <w:r>
              <w:rPr>
                <w:rFonts w:hint="eastAsia" w:cs="Times New Roman"/>
                <w:b/>
                <w:bCs/>
                <w:kern w:val="0"/>
                <w:sz w:val="28"/>
                <w:szCs w:val="22"/>
                <w:highlight w:val="none"/>
                <w:shd w:val="clear" w:color="auto" w:fill="auto"/>
              </w:rPr>
              <w:t>服务</w:t>
            </w:r>
            <w:r>
              <w:rPr>
                <w:rFonts w:cs="Times New Roman"/>
                <w:b/>
                <w:bCs/>
                <w:kern w:val="0"/>
                <w:sz w:val="28"/>
                <w:szCs w:val="22"/>
                <w:highlight w:val="none"/>
                <w:shd w:val="clear" w:color="auto" w:fill="auto"/>
              </w:rPr>
              <w:t>软件产业中高端人才</w:t>
            </w:r>
            <w:r>
              <w:rPr>
                <w:rFonts w:cs="Times New Roman"/>
                <w:kern w:val="0"/>
                <w:sz w:val="28"/>
                <w:szCs w:val="22"/>
                <w:highlight w:val="none"/>
                <w:shd w:val="clear" w:color="auto" w:fill="auto"/>
              </w:rPr>
              <w:t>。精准</w:t>
            </w:r>
            <w:r>
              <w:rPr>
                <w:rFonts w:hint="eastAsia" w:cs="Times New Roman"/>
                <w:kern w:val="0"/>
                <w:sz w:val="28"/>
                <w:szCs w:val="22"/>
                <w:highlight w:val="none"/>
                <w:shd w:val="clear" w:color="auto" w:fill="auto"/>
              </w:rPr>
              <w:t>服务行业龙头企业，为</w:t>
            </w:r>
            <w:r>
              <w:rPr>
                <w:rFonts w:cs="Times New Roman"/>
                <w:kern w:val="0"/>
                <w:sz w:val="28"/>
                <w:szCs w:val="22"/>
                <w:highlight w:val="none"/>
                <w:shd w:val="clear" w:color="auto" w:fill="auto"/>
              </w:rPr>
              <w:t>软件行业领域高层次专家</w:t>
            </w:r>
            <w:r>
              <w:rPr>
                <w:rFonts w:hint="eastAsia" w:cs="Times New Roman"/>
                <w:kern w:val="0"/>
                <w:sz w:val="28"/>
                <w:szCs w:val="22"/>
                <w:highlight w:val="none"/>
                <w:shd w:val="clear" w:color="auto" w:fill="auto"/>
              </w:rPr>
              <w:t>提供住房、医疗、教育等专项支持，以优厚的条件广泛吸引海内外信息化高层次人才。</w:t>
            </w:r>
          </w:p>
        </w:tc>
      </w:tr>
    </w:tbl>
    <w:p>
      <w:pPr>
        <w:widowControl/>
        <w:spacing w:line="560" w:lineRule="exact"/>
        <w:ind w:firstLine="640"/>
        <w:jc w:val="left"/>
        <w:rPr>
          <w:rFonts w:cs="Times New Roman"/>
          <w:highlight w:val="none"/>
          <w:shd w:val="clear" w:color="auto" w:fill="auto"/>
        </w:rPr>
      </w:pPr>
      <w:r>
        <w:rPr>
          <w:rFonts w:hint="eastAsia" w:ascii="楷体_GB2312" w:hAnsi="楷体_GB2312" w:eastAsia="楷体_GB2312" w:cs="楷体_GB2312"/>
          <w:szCs w:val="32"/>
          <w:highlight w:val="none"/>
          <w:shd w:val="clear" w:color="auto" w:fill="auto"/>
        </w:rPr>
        <w:t>（三）开放场景营造多元共享生态体系</w:t>
      </w:r>
      <w:bookmarkEnd w:id="12"/>
      <w:bookmarkEnd w:id="13"/>
    </w:p>
    <w:p>
      <w:pPr>
        <w:spacing w:line="560" w:lineRule="exact"/>
        <w:ind w:firstLine="640"/>
        <w:rPr>
          <w:rFonts w:cs="Times New Roman"/>
          <w:highlight w:val="none"/>
          <w:shd w:val="clear" w:color="auto" w:fill="auto"/>
        </w:rPr>
      </w:pPr>
      <w:bookmarkStart w:id="14" w:name="_Toc3679"/>
      <w:r>
        <w:rPr>
          <w:rFonts w:cs="Times New Roman"/>
          <w:highlight w:val="none"/>
          <w:shd w:val="clear" w:color="auto" w:fill="auto"/>
        </w:rPr>
        <w:t>坚持</w:t>
      </w:r>
      <w:r>
        <w:rPr>
          <w:rFonts w:hint="eastAsia" w:cs="Times New Roman"/>
          <w:highlight w:val="none"/>
          <w:shd w:val="clear" w:color="auto" w:fill="auto"/>
        </w:rPr>
        <w:t>构建开放、多元、繁荣的产业生态体系</w:t>
      </w:r>
      <w:r>
        <w:rPr>
          <w:rFonts w:cs="Times New Roman"/>
          <w:highlight w:val="none"/>
          <w:shd w:val="clear" w:color="auto" w:fill="auto"/>
        </w:rPr>
        <w:t>，</w:t>
      </w:r>
      <w:r>
        <w:rPr>
          <w:rFonts w:hint="eastAsia" w:cs="Times New Roman"/>
          <w:highlight w:val="none"/>
          <w:shd w:val="clear" w:color="auto" w:fill="auto"/>
        </w:rPr>
        <w:t>做好产业链上下游生态培育。</w:t>
      </w:r>
      <w:r>
        <w:rPr>
          <w:rFonts w:cs="Times New Roman"/>
          <w:highlight w:val="none"/>
          <w:shd w:val="clear" w:color="auto" w:fill="auto"/>
        </w:rPr>
        <w:t>强化多层次创新载体建设，推进公共服务平台建设，积极开放应用场景，提供软件企业</w:t>
      </w:r>
      <w:r>
        <w:rPr>
          <w:rFonts w:hint="eastAsia" w:cs="Times New Roman"/>
          <w:highlight w:val="none"/>
          <w:shd w:val="clear" w:color="auto" w:fill="auto"/>
        </w:rPr>
        <w:t>多领域、</w:t>
      </w:r>
      <w:r>
        <w:rPr>
          <w:rFonts w:cs="Times New Roman"/>
          <w:highlight w:val="none"/>
          <w:shd w:val="clear" w:color="auto" w:fill="auto"/>
        </w:rPr>
        <w:t>全生命周期服务，营造优越的产业发展环境。</w:t>
      </w:r>
    </w:p>
    <w:p>
      <w:pPr>
        <w:spacing w:line="560" w:lineRule="exact"/>
        <w:ind w:firstLine="640"/>
        <w:rPr>
          <w:rFonts w:ascii="仿宋_GB2312" w:hAnsi="仿宋_GB2312" w:cs="仿宋_GB2312"/>
          <w:highlight w:val="none"/>
          <w:shd w:val="clear" w:color="auto" w:fill="auto"/>
        </w:rPr>
      </w:pPr>
      <w:r>
        <w:rPr>
          <w:rFonts w:hint="eastAsia" w:ascii="仿宋_GB2312" w:hAnsi="仿宋_GB2312" w:cs="仿宋_GB2312"/>
          <w:b/>
          <w:bCs/>
          <w:highlight w:val="none"/>
          <w:shd w:val="clear" w:color="auto" w:fill="auto"/>
        </w:rPr>
        <w:t>1.</w:t>
      </w:r>
      <w:bookmarkEnd w:id="14"/>
      <w:bookmarkStart w:id="15" w:name="_Toc22317"/>
      <w:r>
        <w:rPr>
          <w:rFonts w:hint="eastAsia" w:ascii="仿宋_GB2312" w:hAnsi="仿宋_GB2312" w:cs="仿宋_GB2312"/>
          <w:b/>
          <w:bCs/>
          <w:highlight w:val="none"/>
          <w:shd w:val="clear" w:color="auto" w:fill="auto"/>
        </w:rPr>
        <w:t>深化拓展应用场景。</w:t>
      </w:r>
      <w:r>
        <w:rPr>
          <w:rFonts w:hint="eastAsia" w:ascii="仿宋_GB2312" w:hAnsi="仿宋_GB2312" w:cs="仿宋_GB2312"/>
          <w:highlight w:val="none"/>
          <w:shd w:val="clear" w:color="auto" w:fill="auto"/>
        </w:rPr>
        <w:t>开辟1万平</w:t>
      </w:r>
      <w:r>
        <w:rPr>
          <w:rFonts w:hint="eastAsia" w:ascii="仿宋_GB2312" w:hAnsi="仿宋_GB2312" w:cs="仿宋_GB2312"/>
          <w:highlight w:val="none"/>
          <w:shd w:val="clear" w:color="auto" w:fill="auto"/>
          <w:lang w:eastAsia="zh-CN"/>
        </w:rPr>
        <w:t>方</w:t>
      </w:r>
      <w:r>
        <w:rPr>
          <w:rFonts w:hint="eastAsia" w:ascii="仿宋_GB2312" w:hAnsi="仿宋_GB2312" w:cs="仿宋_GB2312"/>
          <w:highlight w:val="none"/>
          <w:shd w:val="clear" w:color="auto" w:fill="auto"/>
        </w:rPr>
        <w:t>米以上公共空间，支持重点企业开放核心应用场景建设公共展厅，打造“AI+应用场景”展示空间。在低空经济、数字能源、智能制造等行业先行先试。支持重点企业开放核心应用场景，为生态链企业导入流量、接口、技术等资源。推动政府部门、国有企业开放应用场景，加强与企业的供需对接，优先支持区内企业打造</w:t>
      </w:r>
      <w:r>
        <w:rPr>
          <w:rFonts w:hint="eastAsia" w:ascii="仿宋_GB2312" w:hAnsi="仿宋_GB2312" w:cs="仿宋_GB2312"/>
          <w:highlight w:val="none"/>
          <w:shd w:val="clear" w:color="auto" w:fill="auto"/>
        </w:rPr>
        <w:t>自主可控的</w:t>
      </w:r>
      <w:r>
        <w:rPr>
          <w:rFonts w:hint="eastAsia" w:ascii="仿宋_GB2312" w:hAnsi="仿宋_GB2312" w:cs="仿宋_GB2312"/>
          <w:highlight w:val="none"/>
          <w:shd w:val="clear" w:color="auto" w:fill="auto"/>
        </w:rPr>
        <w:t>关键技术产品。</w:t>
      </w:r>
      <w:r>
        <w:rPr>
          <w:rFonts w:hint="eastAsia" w:ascii="仿宋_GB2312" w:hAnsi="仿宋_GB2312" w:cs="仿宋_GB2312"/>
          <w:b w:val="0"/>
          <w:bCs w:val="0"/>
          <w:szCs w:val="24"/>
          <w:highlight w:val="none"/>
          <w:shd w:val="clear" w:color="auto" w:fill="auto"/>
        </w:rPr>
        <w:t>积极推动政府、区属国企应用“鸿蒙</w:t>
      </w:r>
      <w:bookmarkStart w:id="22" w:name="_GoBack"/>
      <w:bookmarkEnd w:id="22"/>
      <w:r>
        <w:rPr>
          <w:rFonts w:hint="eastAsia" w:ascii="仿宋_GB2312" w:hAnsi="仿宋_GB2312" w:cs="仿宋_GB2312"/>
          <w:b w:val="0"/>
          <w:bCs w:val="0"/>
          <w:szCs w:val="24"/>
          <w:highlight w:val="none"/>
          <w:shd w:val="clear" w:color="auto" w:fill="auto"/>
          <w:lang w:eastAsia="zh-CN"/>
        </w:rPr>
        <w:t>”</w:t>
      </w:r>
      <w:r>
        <w:rPr>
          <w:rFonts w:hint="eastAsia" w:ascii="仿宋_GB2312" w:hAnsi="仿宋_GB2312" w:cs="仿宋_GB2312"/>
          <w:b w:val="0"/>
          <w:bCs w:val="0"/>
          <w:szCs w:val="24"/>
          <w:highlight w:val="none"/>
          <w:shd w:val="clear" w:color="auto" w:fill="auto"/>
        </w:rPr>
        <w:t>“欧拉”+“昇腾”等生态</w:t>
      </w:r>
      <w:r>
        <w:rPr>
          <w:rFonts w:hint="eastAsia" w:ascii="仿宋_GB2312" w:hAnsi="仿宋_GB2312" w:cs="仿宋_GB2312"/>
          <w:b w:val="0"/>
          <w:bCs w:val="0"/>
          <w:szCs w:val="24"/>
          <w:highlight w:val="none"/>
          <w:shd w:val="clear" w:color="auto" w:fill="auto"/>
          <w:lang w:eastAsia="zh-CN"/>
        </w:rPr>
        <w:t>，</w:t>
      </w:r>
      <w:r>
        <w:rPr>
          <w:rFonts w:hint="eastAsia" w:ascii="仿宋_GB2312" w:hAnsi="仿宋_GB2312" w:cs="仿宋_GB2312"/>
          <w:highlight w:val="none"/>
          <w:shd w:val="clear" w:color="auto" w:fill="auto"/>
        </w:rPr>
        <w:t>围绕城市物联感知、应急消防、</w:t>
      </w:r>
      <w:r>
        <w:rPr>
          <w:rFonts w:hint="eastAsia" w:ascii="仿宋_GB2312" w:hAnsi="仿宋_GB2312" w:cs="仿宋_GB2312"/>
          <w:highlight w:val="none"/>
          <w:shd w:val="clear" w:color="auto" w:fill="auto"/>
          <w:lang w:eastAsia="zh-CN"/>
        </w:rPr>
        <w:t>教育、</w:t>
      </w:r>
      <w:r>
        <w:rPr>
          <w:rFonts w:hint="eastAsia" w:ascii="仿宋_GB2312" w:hAnsi="仿宋_GB2312" w:cs="仿宋_GB2312"/>
          <w:highlight w:val="none"/>
          <w:shd w:val="clear" w:color="auto" w:fill="auto"/>
        </w:rPr>
        <w:t>交通、水利、城市生命线等方向，</w:t>
      </w:r>
      <w:r>
        <w:rPr>
          <w:rFonts w:hint="eastAsia" w:ascii="仿宋_GB2312" w:hAnsi="仿宋_GB2312" w:cs="仿宋_GB2312"/>
          <w:b w:val="0"/>
          <w:bCs w:val="0"/>
          <w:szCs w:val="24"/>
          <w:highlight w:val="none"/>
          <w:shd w:val="clear" w:color="auto" w:fill="auto"/>
        </w:rPr>
        <w:t>打造一批自</w:t>
      </w:r>
      <w:r>
        <w:rPr>
          <w:rFonts w:hint="eastAsia" w:ascii="仿宋_GB2312" w:hAnsi="仿宋_GB2312" w:cs="仿宋_GB2312"/>
          <w:b w:val="0"/>
          <w:bCs w:val="0"/>
          <w:szCs w:val="24"/>
          <w:highlight w:val="none"/>
          <w:shd w:val="clear" w:color="auto" w:fill="auto"/>
          <w:lang w:eastAsia="zh-CN"/>
        </w:rPr>
        <w:t>主</w:t>
      </w:r>
      <w:r>
        <w:rPr>
          <w:rFonts w:hint="eastAsia" w:ascii="仿宋_GB2312" w:hAnsi="仿宋_GB2312" w:cs="仿宋_GB2312"/>
          <w:b w:val="0"/>
          <w:bCs w:val="0"/>
          <w:szCs w:val="24"/>
          <w:highlight w:val="none"/>
          <w:shd w:val="clear" w:color="auto" w:fill="auto"/>
        </w:rPr>
        <w:t>创新</w:t>
      </w:r>
      <w:r>
        <w:rPr>
          <w:rFonts w:hint="eastAsia" w:ascii="仿宋_GB2312" w:hAnsi="仿宋_GB2312" w:cs="仿宋_GB2312"/>
          <w:b w:val="0"/>
          <w:bCs w:val="0"/>
          <w:szCs w:val="24"/>
          <w:highlight w:val="none"/>
          <w:shd w:val="clear" w:color="auto" w:fill="auto"/>
          <w:lang w:eastAsia="zh-CN"/>
        </w:rPr>
        <w:t>应用</w:t>
      </w:r>
      <w:r>
        <w:rPr>
          <w:rFonts w:hint="eastAsia" w:ascii="仿宋_GB2312" w:hAnsi="仿宋_GB2312" w:cs="仿宋_GB2312"/>
          <w:b w:val="0"/>
          <w:bCs w:val="0"/>
          <w:szCs w:val="24"/>
          <w:highlight w:val="none"/>
          <w:shd w:val="clear" w:color="auto" w:fill="auto"/>
        </w:rPr>
        <w:t>示范标杆。对采用开源软件的产品和服务给予相应配套补贴</w:t>
      </w:r>
      <w:r>
        <w:rPr>
          <w:rFonts w:hint="eastAsia" w:ascii="仿宋_GB2312" w:hAnsi="仿宋_GB2312" w:cs="仿宋_GB2312"/>
          <w:b w:val="0"/>
          <w:bCs w:val="0"/>
          <w:szCs w:val="24"/>
          <w:highlight w:val="none"/>
          <w:shd w:val="clear" w:color="auto" w:fill="auto"/>
          <w:lang w:eastAsia="zh-CN"/>
        </w:rPr>
        <w:t>。</w:t>
      </w:r>
      <w:r>
        <w:rPr>
          <w:rFonts w:hint="eastAsia" w:ascii="仿宋_GB2312" w:hAnsi="仿宋_GB2312" w:cs="仿宋_GB2312"/>
          <w:highlight w:val="none"/>
          <w:shd w:val="clear" w:color="auto" w:fill="auto"/>
        </w:rPr>
        <w:t>（牵头单位：区工业和信息化局、区政务服务和数据管理局，配合单位：区发展和改革局、区科技创新局、区国资局、区企业服务和投资推广中心）</w:t>
      </w:r>
    </w:p>
    <w:p>
      <w:pPr>
        <w:spacing w:line="560" w:lineRule="exact"/>
        <w:ind w:firstLine="640"/>
        <w:rPr>
          <w:rFonts w:ascii="仿宋_GB2312" w:hAnsi="仿宋_GB2312" w:cs="仿宋_GB2312"/>
          <w:highlight w:val="none"/>
          <w:shd w:val="clear" w:color="auto" w:fill="auto"/>
        </w:rPr>
      </w:pPr>
      <w:r>
        <w:rPr>
          <w:rFonts w:hint="eastAsia" w:ascii="仿宋_GB2312" w:hAnsi="仿宋_GB2312" w:cs="仿宋_GB2312"/>
          <w:b/>
          <w:bCs/>
          <w:highlight w:val="none"/>
          <w:shd w:val="clear" w:color="auto" w:fill="auto"/>
        </w:rPr>
        <w:t>2.强化社会公共服务。</w:t>
      </w:r>
      <w:r>
        <w:rPr>
          <w:rFonts w:hint="eastAsia" w:cs="Times New Roman"/>
          <w:highlight w:val="none"/>
          <w:shd w:val="clear" w:color="auto" w:fill="auto"/>
        </w:rPr>
        <w:t>支持软件行业相关协会、联盟等入驻或设立服务点，推动在产业基地内设立区级软件行业协会、联盟等第三方服务机构，提升对软件行业发展和管理的服务支撑水平。支持建设标</w:t>
      </w:r>
      <w:r>
        <w:rPr>
          <w:rFonts w:cs="Times New Roman"/>
          <w:highlight w:val="none"/>
          <w:shd w:val="clear" w:color="auto" w:fill="auto"/>
        </w:rPr>
        <w:t>准</w:t>
      </w:r>
      <w:r>
        <w:rPr>
          <w:rFonts w:hint="eastAsia" w:cs="Times New Roman"/>
          <w:highlight w:val="none"/>
          <w:shd w:val="clear" w:color="auto" w:fill="auto"/>
        </w:rPr>
        <w:t>制定</w:t>
      </w:r>
      <w:r>
        <w:rPr>
          <w:rFonts w:cs="Times New Roman"/>
          <w:highlight w:val="none"/>
          <w:shd w:val="clear" w:color="auto" w:fill="auto"/>
        </w:rPr>
        <w:t>、检验检测、</w:t>
      </w:r>
      <w:r>
        <w:rPr>
          <w:rFonts w:hint="eastAsia" w:cs="Times New Roman"/>
          <w:highlight w:val="none"/>
          <w:shd w:val="clear" w:color="auto" w:fill="auto"/>
        </w:rPr>
        <w:t>资质认证、数据交流、共性技术研发等各类公共服务平台，搭建知识产权服务体系，为基地企业提供便捷软件企业评估、软件著作权登记、商标注册等服务。</w:t>
      </w:r>
      <w:r>
        <w:rPr>
          <w:rFonts w:hint="eastAsia" w:ascii="仿宋_GB2312" w:hAnsi="仿宋_GB2312" w:cs="仿宋_GB2312"/>
          <w:szCs w:val="32"/>
          <w:highlight w:val="none"/>
          <w:shd w:val="clear" w:color="auto" w:fill="auto"/>
        </w:rPr>
        <w:t>符合条件的主体可依照《</w:t>
      </w:r>
      <w:r>
        <w:rPr>
          <w:rFonts w:hint="eastAsia" w:ascii="仿宋_GB2312" w:hAnsi="仿宋_GB2312" w:cs="仿宋_GB2312"/>
          <w:szCs w:val="22"/>
          <w:highlight w:val="none"/>
          <w:shd w:val="clear" w:color="auto" w:fill="auto"/>
        </w:rPr>
        <w:t>龙华区北站壹号 数字创新中心 汇隆商务中心管理工作方案</w:t>
      </w:r>
      <w:r>
        <w:rPr>
          <w:rFonts w:hint="eastAsia" w:ascii="仿宋_GB2312" w:hAnsi="仿宋_GB2312" w:cs="仿宋_GB2312"/>
          <w:szCs w:val="32"/>
          <w:highlight w:val="none"/>
          <w:shd w:val="clear" w:color="auto" w:fill="auto"/>
        </w:rPr>
        <w:t>》，享受租金折扣。</w:t>
      </w:r>
      <w:r>
        <w:rPr>
          <w:rFonts w:hint="eastAsia" w:cs="Times New Roman"/>
          <w:highlight w:val="none"/>
          <w:shd w:val="clear" w:color="auto" w:fill="auto"/>
        </w:rPr>
        <w:t>推动创新创业高质量发展，通过政府购买服务的形式，为初创企业提供会计、法律等公共服务。</w:t>
      </w:r>
      <w:r>
        <w:rPr>
          <w:rFonts w:hint="eastAsia" w:ascii="仿宋_GB2312" w:hAnsi="仿宋_GB2312" w:cs="仿宋_GB2312"/>
          <w:szCs w:val="32"/>
          <w:highlight w:val="none"/>
          <w:shd w:val="clear" w:color="auto" w:fill="auto"/>
        </w:rPr>
        <w:t>（牵头单位：区企业服务和投资推广中心、市市场监督管理局龙华监管局，配合单位：区科技创新局、区工业和信息化局）</w:t>
      </w:r>
    </w:p>
    <w:p>
      <w:pPr>
        <w:pStyle w:val="6"/>
        <w:spacing w:line="560" w:lineRule="exact"/>
        <w:ind w:firstLine="640"/>
        <w:rPr>
          <w:rFonts w:ascii="仿宋_GB2312" w:hAnsi="仿宋_GB2312" w:cs="仿宋_GB2312"/>
          <w:highlight w:val="none"/>
          <w:shd w:val="clear" w:color="auto" w:fill="auto"/>
          <w:lang w:val="en"/>
        </w:rPr>
      </w:pPr>
      <w:r>
        <w:rPr>
          <w:rFonts w:ascii="仿宋_GB2312" w:hAnsi="仿宋_GB2312" w:cs="仿宋_GB2312"/>
          <w:highlight w:val="none"/>
          <w:shd w:val="clear" w:color="auto" w:fill="auto"/>
          <w:lang w:val="en"/>
        </w:rPr>
        <w:t>3.提升金融有效支持</w:t>
      </w:r>
    </w:p>
    <w:p>
      <w:pPr>
        <w:spacing w:line="560" w:lineRule="exact"/>
        <w:ind w:firstLine="640"/>
        <w:rPr>
          <w:rFonts w:ascii="仿宋_GB2312" w:hAnsi="仿宋_GB2312" w:cs="仿宋_GB2312"/>
          <w:szCs w:val="32"/>
          <w:highlight w:val="none"/>
          <w:shd w:val="clear" w:color="auto" w:fill="auto"/>
        </w:rPr>
      </w:pPr>
      <w:r>
        <w:rPr>
          <w:rFonts w:hint="eastAsia" w:cs="Times New Roman"/>
          <w:highlight w:val="none"/>
          <w:shd w:val="clear" w:color="auto" w:fill="auto"/>
        </w:rPr>
        <w:t>由区属国有资本牵头设立规划总规模</w:t>
      </w:r>
      <w:r>
        <w:rPr>
          <w:rFonts w:hint="eastAsia" w:ascii="仿宋_GB2312" w:hAnsi="仿宋_GB2312" w:cs="仿宋_GB2312"/>
          <w:highlight w:val="none"/>
          <w:shd w:val="clear" w:color="auto" w:fill="auto"/>
        </w:rPr>
        <w:t>10亿</w:t>
      </w:r>
      <w:r>
        <w:rPr>
          <w:rFonts w:hint="eastAsia" w:cs="Times New Roman"/>
          <w:highlight w:val="none"/>
          <w:shd w:val="clear" w:color="auto" w:fill="auto"/>
        </w:rPr>
        <w:t>元的软件产业政府引导基金，撬动各类社会资本参与投资，为软件企业提供天使投资、股权投资、债务投资、投后增值等多层次服务。</w:t>
      </w:r>
      <w:r>
        <w:rPr>
          <w:rFonts w:hint="eastAsia" w:cs="Times New Roman"/>
          <w:highlight w:val="none"/>
          <w:shd w:val="clear" w:color="auto" w:fill="auto"/>
        </w:rPr>
        <w:t>支持创新融资方式，通过信贷风险补偿、应收账款抵押、融资担保、贷款贴息等方式，支持企业发展。鼓励银行及金融机构开发知识产权、政府购买服务协议或研究合同等新型抵质押贷款业务，满足创新创业软件企业融资需求。发挥政府性融资担保机构增信作用，为软件企业提供融资担保服务，引导金融资本、加大对初创期、成长期软件企业的投资力度。</w:t>
      </w:r>
      <w:r>
        <w:rPr>
          <w:rFonts w:hint="eastAsia" w:ascii="仿宋_GB2312" w:hAnsi="仿宋_GB2312" w:cs="仿宋_GB2312"/>
          <w:szCs w:val="32"/>
          <w:highlight w:val="none"/>
          <w:shd w:val="clear" w:color="auto" w:fill="auto"/>
        </w:rPr>
        <w:t>（牵头单位：区工业和信息化局</w:t>
      </w:r>
      <w:r>
        <w:rPr>
          <w:rFonts w:ascii="仿宋_GB2312" w:hAnsi="仿宋_GB2312" w:cs="仿宋_GB2312"/>
          <w:szCs w:val="32"/>
          <w:highlight w:val="none"/>
          <w:shd w:val="clear" w:color="auto" w:fill="auto"/>
          <w:lang w:val="en"/>
        </w:rPr>
        <w:t>、区财政局、</w:t>
      </w:r>
      <w:r>
        <w:rPr>
          <w:rFonts w:hint="eastAsia" w:ascii="仿宋_GB2312" w:hAnsi="仿宋_GB2312" w:cs="仿宋_GB2312"/>
          <w:szCs w:val="32"/>
          <w:highlight w:val="none"/>
          <w:shd w:val="clear" w:color="auto" w:fill="auto"/>
        </w:rPr>
        <w:t>区国资局，配合单位：</w:t>
      </w:r>
      <w:r>
        <w:rPr>
          <w:rFonts w:ascii="仿宋_GB2312" w:hAnsi="仿宋_GB2312" w:cs="仿宋_GB2312"/>
          <w:szCs w:val="32"/>
          <w:highlight w:val="none"/>
          <w:shd w:val="clear" w:color="auto" w:fill="auto"/>
          <w:lang w:val="en"/>
        </w:rPr>
        <w:t>龙华产业资本投资有限公司</w:t>
      </w:r>
      <w:r>
        <w:rPr>
          <w:rFonts w:hint="eastAsia" w:ascii="仿宋_GB2312" w:hAnsi="仿宋_GB2312" w:cs="仿宋_GB2312"/>
          <w:szCs w:val="32"/>
          <w:highlight w:val="none"/>
          <w:shd w:val="clear" w:color="auto" w:fill="auto"/>
        </w:rPr>
        <w:t>）</w:t>
      </w:r>
    </w:p>
    <w:p>
      <w:pPr>
        <w:pStyle w:val="6"/>
        <w:spacing w:line="560" w:lineRule="exact"/>
        <w:ind w:firstLine="640"/>
        <w:rPr>
          <w:rFonts w:ascii="仿宋_GB2312" w:hAnsi="仿宋_GB2312" w:cs="仿宋_GB2312"/>
          <w:b w:val="0"/>
          <w:bCs w:val="0"/>
          <w:szCs w:val="24"/>
          <w:highlight w:val="none"/>
          <w:shd w:val="clear" w:color="auto" w:fill="auto"/>
        </w:rPr>
      </w:pPr>
      <w:r>
        <w:rPr>
          <w:rFonts w:hint="eastAsia" w:ascii="仿宋_GB2312" w:hAnsi="仿宋_GB2312" w:cs="仿宋_GB2312"/>
          <w:highlight w:val="none"/>
          <w:shd w:val="clear" w:color="auto" w:fill="auto"/>
        </w:rPr>
        <w:t>4.构建创新产业链生态体系。</w:t>
      </w:r>
      <w:r>
        <w:rPr>
          <w:rFonts w:hint="eastAsia" w:ascii="仿宋_GB2312" w:hAnsi="仿宋_GB2312" w:cs="仿宋_GB2312"/>
          <w:b w:val="0"/>
          <w:bCs w:val="0"/>
          <w:szCs w:val="24"/>
          <w:highlight w:val="none"/>
          <w:shd w:val="clear" w:color="auto" w:fill="auto"/>
        </w:rPr>
        <w:t>依托</w:t>
      </w:r>
      <w:r>
        <w:rPr>
          <w:rFonts w:hint="eastAsia" w:ascii="仿宋_GB2312" w:hAnsi="仿宋_GB2312" w:cs="仿宋_GB2312"/>
          <w:b w:val="0"/>
          <w:bCs w:val="0"/>
          <w:szCs w:val="24"/>
          <w:highlight w:val="none"/>
          <w:shd w:val="clear" w:color="auto" w:fill="auto"/>
          <w:lang w:eastAsia="zh-CN"/>
        </w:rPr>
        <w:t>深圳北站、</w:t>
      </w:r>
      <w:r>
        <w:rPr>
          <w:rFonts w:hint="eastAsia" w:ascii="仿宋_GB2312" w:hAnsi="仿宋_GB2312" w:cs="仿宋_GB2312"/>
          <w:b w:val="0"/>
          <w:bCs w:val="0"/>
          <w:szCs w:val="24"/>
          <w:highlight w:val="none"/>
          <w:shd w:val="clear" w:color="auto" w:fill="auto"/>
          <w:lang w:eastAsia="zh-CN"/>
        </w:rPr>
        <w:t>华南物流园</w:t>
      </w:r>
      <w:r>
        <w:rPr>
          <w:rFonts w:hint="eastAsia" w:ascii="仿宋_GB2312" w:hAnsi="仿宋_GB2312" w:cs="仿宋_GB2312"/>
          <w:b w:val="0"/>
          <w:bCs w:val="0"/>
          <w:szCs w:val="24"/>
          <w:highlight w:val="none"/>
          <w:shd w:val="clear" w:color="auto" w:fill="auto"/>
          <w:lang w:eastAsia="zh-CN"/>
        </w:rPr>
        <w:t>等</w:t>
      </w:r>
      <w:r>
        <w:rPr>
          <w:rFonts w:hint="eastAsia" w:ascii="仿宋_GB2312" w:hAnsi="仿宋_GB2312" w:cs="仿宋_GB2312"/>
          <w:b w:val="0"/>
          <w:bCs w:val="0"/>
          <w:szCs w:val="24"/>
          <w:highlight w:val="none"/>
          <w:shd w:val="clear" w:color="auto" w:fill="auto"/>
          <w:lang w:eastAsia="zh-CN"/>
        </w:rPr>
        <w:t>片区</w:t>
      </w:r>
      <w:r>
        <w:rPr>
          <w:rFonts w:hint="eastAsia" w:ascii="仿宋_GB2312" w:hAnsi="仿宋_GB2312" w:cs="仿宋_GB2312"/>
          <w:b w:val="0"/>
          <w:bCs w:val="0"/>
          <w:szCs w:val="24"/>
          <w:highlight w:val="none"/>
          <w:shd w:val="clear" w:color="auto" w:fill="auto"/>
        </w:rPr>
        <w:t>产业空间，全面深化与华为的战略合作，探索共同运营新模式。聚焦华为工业软件、国产化工具链、车载软件、自主可控基础软件和盘古大模型，引入生态链上下游企业</w:t>
      </w:r>
      <w:r>
        <w:rPr>
          <w:rFonts w:hint="eastAsia" w:ascii="仿宋_GB2312" w:hAnsi="仿宋_GB2312" w:cs="仿宋_GB2312"/>
          <w:b w:val="0"/>
          <w:bCs w:val="0"/>
          <w:szCs w:val="24"/>
          <w:highlight w:val="none"/>
          <w:shd w:val="clear" w:color="auto" w:fill="auto"/>
          <w:lang w:eastAsia="zh-CN"/>
        </w:rPr>
        <w:t>。</w:t>
      </w:r>
      <w:r>
        <w:rPr>
          <w:rFonts w:hint="eastAsia" w:ascii="仿宋_GB2312" w:hAnsi="仿宋_GB2312" w:cs="仿宋_GB2312"/>
          <w:b w:val="0"/>
          <w:bCs w:val="0"/>
          <w:szCs w:val="32"/>
          <w:highlight w:val="none"/>
          <w:shd w:val="clear" w:color="auto" w:fill="auto"/>
        </w:rPr>
        <w:t>支持华为</w:t>
      </w:r>
      <w:r>
        <w:rPr>
          <w:rFonts w:hint="eastAsia" w:ascii="仿宋_GB2312" w:hAnsi="仿宋_GB2312" w:cs="仿宋_GB2312"/>
          <w:b w:val="0"/>
          <w:bCs w:val="0"/>
          <w:szCs w:val="32"/>
          <w:highlight w:val="none"/>
          <w:shd w:val="clear" w:color="auto" w:fill="auto"/>
          <w:lang w:eastAsia="zh-CN"/>
        </w:rPr>
        <w:t>、深开鸿等企业</w:t>
      </w:r>
      <w:r>
        <w:rPr>
          <w:rFonts w:hint="eastAsia" w:ascii="仿宋_GB2312" w:hAnsi="仿宋_GB2312" w:cs="仿宋_GB2312"/>
          <w:b w:val="0"/>
          <w:bCs w:val="0"/>
          <w:szCs w:val="24"/>
          <w:highlight w:val="none"/>
          <w:shd w:val="clear" w:color="auto" w:fill="auto"/>
        </w:rPr>
        <w:t>等建设软件开源社区，</w:t>
      </w:r>
      <w:r>
        <w:rPr>
          <w:rFonts w:hint="eastAsia" w:ascii="仿宋_GB2312" w:hAnsi="仿宋_GB2312" w:cs="仿宋_GB2312"/>
          <w:b w:val="0"/>
          <w:bCs w:val="0"/>
          <w:szCs w:val="32"/>
          <w:highlight w:val="none"/>
          <w:shd w:val="clear" w:color="auto" w:fill="auto"/>
          <w:lang w:eastAsia="zh-CN"/>
        </w:rPr>
        <w:t>打造鸿蒙原生特色应用产业园</w:t>
      </w:r>
      <w:r>
        <w:rPr>
          <w:rFonts w:hint="eastAsia" w:ascii="仿宋_GB2312" w:hAnsi="仿宋_GB2312" w:cs="仿宋_GB2312"/>
          <w:b w:val="0"/>
          <w:bCs w:val="0"/>
          <w:szCs w:val="32"/>
          <w:highlight w:val="none"/>
          <w:shd w:val="clear" w:color="auto" w:fill="auto"/>
        </w:rPr>
        <w:t>，</w:t>
      </w:r>
      <w:r>
        <w:rPr>
          <w:rFonts w:hint="eastAsia" w:ascii="仿宋_GB2312" w:hAnsi="仿宋_GB2312" w:cs="仿宋_GB2312"/>
          <w:b w:val="0"/>
          <w:bCs w:val="0"/>
          <w:szCs w:val="32"/>
          <w:highlight w:val="none"/>
          <w:shd w:val="clear" w:color="auto" w:fill="auto"/>
          <w:lang w:eastAsia="zh-CN"/>
        </w:rPr>
        <w:t>开发鸿蒙原生应用软件、三方引擎和闭源库，</w:t>
      </w:r>
      <w:r>
        <w:rPr>
          <w:rFonts w:hint="eastAsia" w:ascii="仿宋_GB2312" w:hAnsi="仿宋_GB2312" w:cs="仿宋_GB2312"/>
          <w:b w:val="0"/>
          <w:bCs w:val="0"/>
          <w:szCs w:val="32"/>
          <w:highlight w:val="none"/>
          <w:shd w:val="clear" w:color="auto" w:fill="auto"/>
        </w:rPr>
        <w:t>开展技术适配验证</w:t>
      </w:r>
      <w:r>
        <w:rPr>
          <w:rFonts w:hint="eastAsia" w:ascii="仿宋_GB2312" w:hAnsi="仿宋_GB2312" w:cs="仿宋_GB2312"/>
          <w:b w:val="0"/>
          <w:bCs w:val="0"/>
          <w:szCs w:val="32"/>
          <w:highlight w:val="none"/>
          <w:shd w:val="clear" w:color="auto" w:fill="auto"/>
          <w:lang w:eastAsia="zh-CN"/>
        </w:rPr>
        <w:t>。鼓励在制造、互联网、物流、能源、住建等行业推出鸿蒙原生应用，</w:t>
      </w:r>
      <w:r>
        <w:rPr>
          <w:rFonts w:hint="eastAsia" w:ascii="仿宋_GB2312" w:hAnsi="仿宋_GB2312" w:cs="仿宋_GB2312"/>
          <w:b w:val="0"/>
          <w:bCs w:val="0"/>
          <w:szCs w:val="24"/>
          <w:highlight w:val="none"/>
          <w:shd w:val="clear" w:color="auto" w:fill="auto"/>
        </w:rPr>
        <w:t>发展“鸿蒙+欧拉”“鲲鹏+昇腾”等自主产业生态，培育软件开源良性环境，促进形成协同研发和快速迭代创新生态与信息技术应用创新体系。支持企业建设、加入开源社区、开源代码托管平台等基础设施，加强开源技术、产品创新</w:t>
      </w:r>
      <w:r>
        <w:rPr>
          <w:rFonts w:hint="eastAsia" w:ascii="仿宋_GB2312" w:hAnsi="仿宋_GB2312" w:cs="仿宋_GB2312"/>
          <w:b w:val="0"/>
          <w:bCs w:val="0"/>
          <w:szCs w:val="24"/>
          <w:highlight w:val="none"/>
          <w:shd w:val="clear" w:color="auto" w:fill="auto"/>
        </w:rPr>
        <w:t>。</w:t>
      </w:r>
      <w:r>
        <w:rPr>
          <w:rFonts w:hint="eastAsia" w:ascii="仿宋_GB2312" w:hAnsi="仿宋_GB2312" w:cs="仿宋_GB2312"/>
          <w:b w:val="0"/>
          <w:bCs w:val="0"/>
          <w:szCs w:val="24"/>
          <w:highlight w:val="none"/>
          <w:shd w:val="clear" w:color="auto" w:fill="auto"/>
        </w:rPr>
        <w:t>（牵头单位：区工业和信息化局，配合单位：区企业服务和投资推广中心）</w:t>
      </w:r>
    </w:p>
    <w:bookmarkEnd w:id="15"/>
    <w:p>
      <w:pPr>
        <w:spacing w:line="560" w:lineRule="exact"/>
        <w:ind w:firstLine="0" w:firstLineChars="0"/>
        <w:rPr>
          <w:highlight w:val="none"/>
          <w:shd w:val="clear" w:color="auto" w:fill="auto"/>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9" w:type="dxa"/>
          </w:tcPr>
          <w:p>
            <w:pPr>
              <w:adjustRightInd w:val="0"/>
              <w:snapToGrid w:val="0"/>
              <w:spacing w:line="500" w:lineRule="exact"/>
              <w:ind w:firstLine="0" w:firstLineChars="0"/>
              <w:jc w:val="center"/>
              <w:rPr>
                <w:rFonts w:cs="Times New Roman"/>
                <w:kern w:val="0"/>
                <w:sz w:val="28"/>
                <w:szCs w:val="28"/>
                <w:highlight w:val="none"/>
                <w:shd w:val="clear" w:color="auto" w:fill="auto"/>
              </w:rPr>
            </w:pPr>
            <w:r>
              <w:rPr>
                <w:rFonts w:hint="eastAsia" w:ascii="仿宋_GB2312" w:hAnsi="仿宋_GB2312" w:cs="仿宋_GB2312"/>
                <w:b/>
                <w:bCs/>
                <w:kern w:val="0"/>
                <w:sz w:val="28"/>
                <w:szCs w:val="28"/>
                <w:highlight w:val="none"/>
                <w:shd w:val="clear" w:color="auto" w:fill="auto"/>
              </w:rPr>
              <w:t>专栏3 软件生态优化工程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9" w:type="dxa"/>
          </w:tcPr>
          <w:p>
            <w:pPr>
              <w:widowControl/>
              <w:spacing w:line="500" w:lineRule="exact"/>
              <w:ind w:firstLine="0" w:firstLineChars="0"/>
              <w:rPr>
                <w:rFonts w:cs="Times New Roman"/>
                <w:sz w:val="28"/>
                <w:szCs w:val="28"/>
                <w:highlight w:val="none"/>
                <w:shd w:val="clear" w:color="auto" w:fill="auto"/>
              </w:rPr>
            </w:pPr>
            <w:r>
              <w:rPr>
                <w:rFonts w:hint="eastAsia" w:cs="Times New Roman"/>
                <w:b/>
                <w:bCs/>
                <w:kern w:val="0"/>
                <w:sz w:val="28"/>
                <w:szCs w:val="28"/>
                <w:highlight w:val="none"/>
                <w:shd w:val="clear" w:color="auto" w:fill="auto"/>
              </w:rPr>
              <w:t>建设技术中心</w:t>
            </w:r>
            <w:r>
              <w:rPr>
                <w:rFonts w:cs="Times New Roman"/>
                <w:b/>
                <w:bCs/>
                <w:kern w:val="0"/>
                <w:sz w:val="28"/>
                <w:szCs w:val="28"/>
                <w:highlight w:val="none"/>
                <w:shd w:val="clear" w:color="auto" w:fill="auto"/>
              </w:rPr>
              <w:t>。</w:t>
            </w:r>
            <w:r>
              <w:rPr>
                <w:rFonts w:hint="eastAsia" w:cs="Times New Roman"/>
                <w:sz w:val="28"/>
                <w:szCs w:val="28"/>
                <w:highlight w:val="none"/>
                <w:shd w:val="clear" w:color="auto" w:fill="auto"/>
              </w:rPr>
              <w:t>引导华为、宝德、深算院等主体建设工程技术中心、产业创新中心、重点实验室、信创适配中心等创新载体，依据龙华区软件产业发展若干措施予以支持。</w:t>
            </w:r>
          </w:p>
          <w:p>
            <w:pPr>
              <w:widowControl/>
              <w:spacing w:line="500" w:lineRule="exact"/>
              <w:ind w:firstLine="0" w:firstLineChars="0"/>
              <w:rPr>
                <w:rFonts w:cs="Times New Roman"/>
                <w:kern w:val="0"/>
                <w:sz w:val="28"/>
                <w:szCs w:val="28"/>
                <w:highlight w:val="none"/>
                <w:shd w:val="clear" w:color="auto" w:fill="auto"/>
              </w:rPr>
            </w:pPr>
            <w:r>
              <w:rPr>
                <w:rFonts w:hint="eastAsia" w:cs="Times New Roman"/>
                <w:b/>
                <w:bCs/>
                <w:kern w:val="0"/>
                <w:sz w:val="28"/>
                <w:szCs w:val="28"/>
                <w:highlight w:val="none"/>
                <w:shd w:val="clear" w:color="auto" w:fill="auto"/>
              </w:rPr>
              <w:t>汇聚</w:t>
            </w:r>
            <w:r>
              <w:rPr>
                <w:rFonts w:cs="Times New Roman"/>
                <w:b/>
                <w:bCs/>
                <w:kern w:val="0"/>
                <w:sz w:val="28"/>
                <w:szCs w:val="28"/>
                <w:highlight w:val="none"/>
                <w:shd w:val="clear" w:color="auto" w:fill="auto"/>
              </w:rPr>
              <w:t>公共服务平台。</w:t>
            </w:r>
            <w:r>
              <w:rPr>
                <w:rFonts w:hint="eastAsia" w:cs="Times New Roman"/>
                <w:sz w:val="28"/>
                <w:szCs w:val="28"/>
                <w:highlight w:val="none"/>
                <w:shd w:val="clear" w:color="auto" w:fill="auto"/>
              </w:rPr>
              <w:t>引进工信部一所软件重点实验室，支持行业协会、联盟等机构以及华为等龙头企业建设软件类公共服务平台，为基地企业就近提供共性技术支持、软件测评、人才培训等公共服务。</w:t>
            </w:r>
          </w:p>
          <w:p>
            <w:pPr>
              <w:widowControl/>
              <w:spacing w:line="500" w:lineRule="exact"/>
              <w:ind w:firstLine="0" w:firstLineChars="0"/>
              <w:rPr>
                <w:rFonts w:cs="Times New Roman"/>
                <w:b/>
                <w:bCs/>
                <w:kern w:val="0"/>
                <w:sz w:val="28"/>
                <w:szCs w:val="28"/>
                <w:highlight w:val="none"/>
                <w:shd w:val="clear" w:color="auto" w:fill="auto"/>
              </w:rPr>
            </w:pPr>
            <w:r>
              <w:rPr>
                <w:rFonts w:hint="eastAsia" w:cs="Times New Roman"/>
                <w:b/>
                <w:bCs/>
                <w:kern w:val="0"/>
                <w:sz w:val="28"/>
                <w:szCs w:val="28"/>
                <w:highlight w:val="none"/>
                <w:shd w:val="clear" w:color="auto" w:fill="auto"/>
              </w:rPr>
              <w:t>组织专业交流活动</w:t>
            </w:r>
            <w:r>
              <w:rPr>
                <w:rFonts w:cs="Times New Roman"/>
                <w:b/>
                <w:bCs/>
                <w:kern w:val="0"/>
                <w:sz w:val="28"/>
                <w:szCs w:val="28"/>
                <w:highlight w:val="none"/>
                <w:shd w:val="clear" w:color="auto" w:fill="auto"/>
              </w:rPr>
              <w:t>。</w:t>
            </w:r>
            <w:r>
              <w:rPr>
                <w:rFonts w:hint="eastAsia" w:cs="Times New Roman"/>
                <w:kern w:val="0"/>
                <w:sz w:val="28"/>
                <w:szCs w:val="28"/>
                <w:highlight w:val="none"/>
                <w:shd w:val="clear" w:color="auto" w:fill="auto"/>
              </w:rPr>
              <w:t>提供公共场地，依托重点企业组织技术分享、专业培训和交流沙龙，为企业链接人才、技术、资金等多方资源。</w:t>
            </w:r>
          </w:p>
          <w:p>
            <w:pPr>
              <w:widowControl/>
              <w:spacing w:line="500" w:lineRule="exact"/>
              <w:ind w:firstLine="0" w:firstLineChars="0"/>
              <w:rPr>
                <w:rFonts w:cs="Times New Roman"/>
                <w:kern w:val="0"/>
                <w:sz w:val="28"/>
                <w:szCs w:val="28"/>
                <w:highlight w:val="none"/>
                <w:shd w:val="clear" w:color="auto" w:fill="auto"/>
              </w:rPr>
            </w:pPr>
            <w:r>
              <w:rPr>
                <w:rFonts w:cs="Times New Roman"/>
                <w:b/>
                <w:bCs/>
                <w:kern w:val="0"/>
                <w:sz w:val="28"/>
                <w:szCs w:val="28"/>
                <w:highlight w:val="none"/>
                <w:shd w:val="clear" w:color="auto" w:fill="auto"/>
              </w:rPr>
              <w:t>构建开源生态。</w:t>
            </w:r>
            <w:r>
              <w:rPr>
                <w:rFonts w:hint="eastAsia" w:cs="Times New Roman"/>
                <w:kern w:val="0"/>
                <w:sz w:val="28"/>
                <w:szCs w:val="28"/>
                <w:highlight w:val="none"/>
                <w:shd w:val="clear" w:color="auto" w:fill="auto"/>
              </w:rPr>
              <w:t>依托中国软协、开放原子开源基金会等机构，</w:t>
            </w:r>
            <w:r>
              <w:rPr>
                <w:rFonts w:cs="Times New Roman"/>
                <w:kern w:val="0"/>
                <w:sz w:val="28"/>
                <w:szCs w:val="28"/>
                <w:highlight w:val="none"/>
                <w:shd w:val="clear" w:color="auto" w:fill="auto"/>
              </w:rPr>
              <w:t>构建软件开源社区、开源生态联盟，鼓励企业、高校等积极参与软件开源生态建设。</w:t>
            </w:r>
          </w:p>
        </w:tc>
      </w:tr>
    </w:tbl>
    <w:p>
      <w:pPr>
        <w:pStyle w:val="5"/>
        <w:keepNext w:val="0"/>
        <w:keepLines w:val="0"/>
        <w:spacing w:line="560" w:lineRule="exact"/>
        <w:ind w:firstLine="640"/>
        <w:rPr>
          <w:rFonts w:ascii="Times New Roman" w:hAnsi="Times New Roman" w:cs="Times New Roman"/>
          <w:b w:val="0"/>
          <w:bCs w:val="0"/>
          <w:highlight w:val="none"/>
          <w:shd w:val="clear" w:color="auto" w:fill="auto"/>
        </w:rPr>
      </w:pPr>
      <w:bookmarkStart w:id="16" w:name="_Toc5003"/>
      <w:bookmarkStart w:id="17" w:name="_Toc24876"/>
      <w:r>
        <w:rPr>
          <w:rFonts w:ascii="Times New Roman" w:hAnsi="Times New Roman" w:cs="Times New Roman"/>
          <w:b w:val="0"/>
          <w:bCs w:val="0"/>
          <w:highlight w:val="none"/>
          <w:shd w:val="clear" w:color="auto" w:fill="auto"/>
        </w:rPr>
        <w:t>（</w:t>
      </w:r>
      <w:r>
        <w:rPr>
          <w:rFonts w:hint="eastAsia" w:ascii="Times New Roman" w:hAnsi="Times New Roman" w:cs="Times New Roman"/>
          <w:b w:val="0"/>
          <w:bCs w:val="0"/>
          <w:highlight w:val="none"/>
          <w:shd w:val="clear" w:color="auto" w:fill="auto"/>
        </w:rPr>
        <w:t>四</w:t>
      </w:r>
      <w:r>
        <w:rPr>
          <w:rFonts w:ascii="Times New Roman" w:hAnsi="Times New Roman" w:cs="Times New Roman"/>
          <w:b w:val="0"/>
          <w:bCs w:val="0"/>
          <w:highlight w:val="none"/>
          <w:shd w:val="clear" w:color="auto" w:fill="auto"/>
        </w:rPr>
        <w:t>）</w:t>
      </w:r>
      <w:bookmarkEnd w:id="16"/>
      <w:bookmarkEnd w:id="17"/>
      <w:r>
        <w:rPr>
          <w:rFonts w:hint="eastAsia" w:ascii="Times New Roman" w:hAnsi="Times New Roman" w:cs="Times New Roman"/>
          <w:b w:val="0"/>
          <w:bCs w:val="0"/>
          <w:highlight w:val="none"/>
          <w:shd w:val="clear" w:color="auto" w:fill="auto"/>
        </w:rPr>
        <w:t xml:space="preserve">软硬结合打造高水平专业园区 </w:t>
      </w:r>
    </w:p>
    <w:p>
      <w:pPr>
        <w:spacing w:line="560" w:lineRule="exact"/>
        <w:ind w:firstLine="640"/>
        <w:rPr>
          <w:rFonts w:cs="Times New Roman"/>
          <w:highlight w:val="none"/>
          <w:shd w:val="clear" w:color="auto" w:fill="auto"/>
        </w:rPr>
      </w:pPr>
      <w:bookmarkStart w:id="18" w:name="_Toc7045"/>
      <w:r>
        <w:rPr>
          <w:rFonts w:hint="eastAsia" w:cs="Times New Roman"/>
          <w:highlight w:val="none"/>
          <w:shd w:val="clear" w:color="auto" w:fill="auto"/>
        </w:rPr>
        <w:t>重点</w:t>
      </w:r>
      <w:r>
        <w:rPr>
          <w:rFonts w:cs="Times New Roman"/>
          <w:highlight w:val="none"/>
          <w:shd w:val="clear" w:color="auto" w:fill="auto"/>
        </w:rPr>
        <w:t>提升</w:t>
      </w:r>
      <w:r>
        <w:rPr>
          <w:rFonts w:hint="eastAsia" w:cs="Times New Roman"/>
          <w:highlight w:val="none"/>
          <w:shd w:val="clear" w:color="auto" w:fill="auto"/>
        </w:rPr>
        <w:t>园区</w:t>
      </w:r>
      <w:r>
        <w:rPr>
          <w:rFonts w:cs="Times New Roman"/>
          <w:highlight w:val="none"/>
          <w:shd w:val="clear" w:color="auto" w:fill="auto"/>
        </w:rPr>
        <w:t>专业化服务</w:t>
      </w:r>
      <w:r>
        <w:rPr>
          <w:rFonts w:hint="eastAsia" w:cs="Times New Roman"/>
          <w:highlight w:val="none"/>
          <w:shd w:val="clear" w:color="auto" w:fill="auto"/>
        </w:rPr>
        <w:t>能力</w:t>
      </w:r>
      <w:r>
        <w:rPr>
          <w:rFonts w:cs="Times New Roman"/>
          <w:highlight w:val="none"/>
          <w:shd w:val="clear" w:color="auto" w:fill="auto"/>
        </w:rPr>
        <w:t>，完善</w:t>
      </w:r>
      <w:r>
        <w:rPr>
          <w:rFonts w:hint="eastAsia" w:cs="Times New Roman"/>
          <w:highlight w:val="none"/>
          <w:shd w:val="clear" w:color="auto" w:fill="auto"/>
        </w:rPr>
        <w:t>产业基地</w:t>
      </w:r>
      <w:r>
        <w:rPr>
          <w:rFonts w:cs="Times New Roman"/>
          <w:highlight w:val="none"/>
          <w:shd w:val="clear" w:color="auto" w:fill="auto"/>
        </w:rPr>
        <w:t>基础设施、</w:t>
      </w:r>
      <w:r>
        <w:rPr>
          <w:rFonts w:hint="eastAsia" w:cs="Times New Roman"/>
          <w:highlight w:val="none"/>
          <w:shd w:val="clear" w:color="auto" w:fill="auto"/>
        </w:rPr>
        <w:t>强化</w:t>
      </w:r>
      <w:r>
        <w:rPr>
          <w:rFonts w:cs="Times New Roman"/>
          <w:highlight w:val="none"/>
          <w:shd w:val="clear" w:color="auto" w:fill="auto"/>
        </w:rPr>
        <w:t>运营管理模式，打造</w:t>
      </w:r>
      <w:r>
        <w:rPr>
          <w:rFonts w:hint="eastAsia" w:cs="Times New Roman"/>
          <w:highlight w:val="none"/>
          <w:shd w:val="clear" w:color="auto" w:fill="auto"/>
        </w:rPr>
        <w:t>软件与信息服务产业集聚高地</w:t>
      </w:r>
      <w:r>
        <w:rPr>
          <w:rFonts w:cs="Times New Roman"/>
          <w:highlight w:val="none"/>
          <w:shd w:val="clear" w:color="auto" w:fill="auto"/>
        </w:rPr>
        <w:t>。</w:t>
      </w:r>
    </w:p>
    <w:p>
      <w:pPr>
        <w:spacing w:line="560" w:lineRule="exact"/>
        <w:ind w:firstLine="640"/>
        <w:rPr>
          <w:rFonts w:ascii="仿宋_GB2312" w:hAnsi="仿宋_GB2312" w:cs="仿宋_GB2312"/>
          <w:highlight w:val="none"/>
          <w:shd w:val="clear" w:color="auto" w:fill="auto"/>
        </w:rPr>
      </w:pPr>
      <w:bookmarkStart w:id="19" w:name="_Toc29686"/>
      <w:r>
        <w:rPr>
          <w:rFonts w:hint="eastAsia" w:ascii="仿宋_GB2312" w:hAnsi="仿宋_GB2312" w:cs="仿宋_GB2312"/>
          <w:b/>
          <w:bCs/>
          <w:highlight w:val="none"/>
          <w:shd w:val="clear" w:color="auto" w:fill="auto"/>
        </w:rPr>
        <w:t>1.</w:t>
      </w:r>
      <w:bookmarkEnd w:id="19"/>
      <w:r>
        <w:rPr>
          <w:rFonts w:hint="eastAsia" w:ascii="仿宋_GB2312" w:hAnsi="仿宋_GB2312" w:cs="仿宋_GB2312"/>
          <w:b/>
          <w:bCs/>
          <w:highlight w:val="none"/>
          <w:shd w:val="clear" w:color="auto" w:fill="auto"/>
        </w:rPr>
        <w:t>全方位提升运营管理软实力。</w:t>
      </w:r>
      <w:r>
        <w:rPr>
          <w:rFonts w:hint="eastAsia" w:cs="Times New Roman"/>
          <w:highlight w:val="none"/>
          <w:shd w:val="clear" w:color="auto" w:fill="auto"/>
        </w:rPr>
        <w:t>引进市属国企或园区品牌运营机构与区属国企合资成立软件园区专业运营公司，通过平台建设、品牌运营、产业活动、资质提升等措施，全面强化管理部门运营服务能力，实现从物业管理到产业运营管理的全方位提升。探索搭建数字化管理公共服务平台，为企业提供研发加计扣除、知识产权申请和授权、荣誉资质申报、软件检测、共性技术研发等各类专业服务。建立企业精准服务机制，探索梳理软件产业链</w:t>
      </w:r>
      <w:r>
        <w:rPr>
          <w:rFonts w:hint="eastAsia" w:ascii="仿宋_GB2312" w:hAnsi="仿宋_GB2312" w:cs="仿宋_GB2312"/>
          <w:highlight w:val="none"/>
          <w:shd w:val="clear" w:color="auto" w:fill="auto"/>
        </w:rPr>
        <w:t>关键核心技术、知识产权、重点企业、人才团队、项目成果、金融资本等要素信息，形成跨部门、跨区域信息资源共享机制。打造高品质、专业化园区服务，构建满足产业生产、研发、管理等产业功能以及餐饮、休闲、娱乐等生活功能的复合型生态空间。统一设计形象LOGO，提升园区辨识度和影响力，打响深圳北软件产业基地金招牌。（牵头单位：区国资局，配合单位：区工业和信息化局）</w:t>
      </w:r>
    </w:p>
    <w:p>
      <w:pPr>
        <w:spacing w:line="560" w:lineRule="exact"/>
        <w:ind w:firstLine="640"/>
        <w:rPr>
          <w:rFonts w:cs="Times New Roman"/>
          <w:highlight w:val="none"/>
          <w:shd w:val="clear" w:color="auto" w:fill="auto"/>
        </w:rPr>
      </w:pPr>
      <w:r>
        <w:rPr>
          <w:rFonts w:hint="eastAsia" w:ascii="仿宋_GB2312" w:hAnsi="仿宋_GB2312" w:cs="仿宋_GB2312"/>
          <w:b/>
          <w:bCs/>
          <w:highlight w:val="none"/>
          <w:shd w:val="clear" w:color="auto" w:fill="auto"/>
        </w:rPr>
        <w:t>2.</w:t>
      </w:r>
      <w:bookmarkEnd w:id="18"/>
      <w:r>
        <w:rPr>
          <w:rFonts w:hint="eastAsia" w:ascii="仿宋_GB2312" w:hAnsi="仿宋_GB2312" w:cs="仿宋_GB2312"/>
          <w:b/>
          <w:bCs/>
          <w:highlight w:val="none"/>
          <w:shd w:val="clear" w:color="auto" w:fill="auto"/>
        </w:rPr>
        <w:t>高标准打造硬件基础设施。</w:t>
      </w:r>
      <w:r>
        <w:rPr>
          <w:rFonts w:hint="eastAsia" w:cs="Times New Roman"/>
          <w:highlight w:val="none"/>
          <w:shd w:val="clear" w:color="auto" w:fill="auto"/>
        </w:rPr>
        <w:t>深入对接软件企业需求，适当超前布局数字基础设施。结合深圳市极速先锋城市建设行动计划，在基地率先布局城市</w:t>
      </w:r>
      <w:r>
        <w:rPr>
          <w:rFonts w:hint="eastAsia" w:ascii="仿宋_GB2312" w:hAnsi="仿宋_GB2312" w:cs="仿宋_GB2312"/>
          <w:highlight w:val="none"/>
          <w:shd w:val="clear" w:color="auto" w:fill="auto"/>
        </w:rPr>
        <w:t>千兆光网，提升5G</w:t>
      </w:r>
      <w:r>
        <w:rPr>
          <w:rFonts w:hint="eastAsia" w:cs="Times New Roman"/>
          <w:highlight w:val="none"/>
          <w:shd w:val="clear" w:color="auto" w:fill="auto"/>
        </w:rPr>
        <w:t>网络能效，打造高品质无线局域网，结合低轨卫星和地面通讯，率先布局低空经济基础设施。（牵头单位：区工业和信息化局，配合单位：区政数局）</w:t>
      </w:r>
    </w:p>
    <w:p>
      <w:pPr>
        <w:spacing w:line="560" w:lineRule="exact"/>
        <w:ind w:firstLine="640"/>
        <w:rPr>
          <w:rFonts w:ascii="仿宋_GB2312" w:hAnsi="仿宋_GB2312" w:cs="仿宋_GB2312"/>
          <w:highlight w:val="none"/>
          <w:shd w:val="clear" w:color="auto" w:fill="auto"/>
        </w:rPr>
      </w:pPr>
      <w:r>
        <w:rPr>
          <w:rFonts w:hint="eastAsia" w:ascii="仿宋_GB2312" w:hAnsi="仿宋_GB2312" w:cs="仿宋_GB2312"/>
          <w:b/>
          <w:bCs/>
          <w:highlight w:val="none"/>
          <w:shd w:val="clear" w:color="auto" w:fill="auto"/>
        </w:rPr>
        <w:t>3.推动楼宇智慧化升级改造。</w:t>
      </w:r>
      <w:r>
        <w:rPr>
          <w:rFonts w:hint="eastAsia" w:ascii="仿宋_GB2312" w:hAnsi="仿宋_GB2312" w:cs="仿宋_GB2312"/>
          <w:highlight w:val="none"/>
          <w:shd w:val="clear" w:color="auto" w:fill="auto"/>
        </w:rPr>
        <w:t>鼓励楼宇运营管理单位积极运用数字孪生、BIM、大数据、人工智能等信息化技术手段，推动现有楼宇资源高效利用，实现园区基础设施信息化、运营管理高效化、功能服务便利化,为建筑楼宇打造满足日常管理工作的集成融合智慧场景应用。对纳入市级工业园区网络升级改造项目和评定为区级优秀智慧园区、示范智慧园区的，按照《龙华区工业园区提质增效三年实施方案》给予资助。（牵头单位：</w:t>
      </w:r>
      <w:r>
        <w:rPr>
          <w:rFonts w:ascii="仿宋_GB2312" w:hAnsi="仿宋_GB2312" w:cs="仿宋_GB2312"/>
          <w:highlight w:val="none"/>
          <w:shd w:val="clear" w:color="auto" w:fill="auto"/>
          <w:lang w:val="en"/>
        </w:rPr>
        <w:t>区工业和信息化局，</w:t>
      </w:r>
      <w:r>
        <w:rPr>
          <w:rFonts w:hint="eastAsia" w:ascii="仿宋_GB2312" w:hAnsi="仿宋_GB2312" w:cs="仿宋_GB2312"/>
          <w:highlight w:val="none"/>
          <w:shd w:val="clear" w:color="auto" w:fill="auto"/>
        </w:rPr>
        <w:t>配合单位：区财政局</w:t>
      </w:r>
      <w:r>
        <w:rPr>
          <w:rFonts w:ascii="仿宋_GB2312" w:hAnsi="仿宋_GB2312" w:cs="仿宋_GB2312"/>
          <w:highlight w:val="none"/>
          <w:shd w:val="clear" w:color="auto" w:fill="auto"/>
          <w:lang w:val="en"/>
        </w:rPr>
        <w:t>、</w:t>
      </w:r>
      <w:r>
        <w:rPr>
          <w:rFonts w:hint="eastAsia" w:ascii="仿宋_GB2312" w:hAnsi="仿宋_GB2312" w:cs="仿宋_GB2312"/>
          <w:highlight w:val="none"/>
          <w:shd w:val="clear" w:color="auto" w:fill="auto"/>
        </w:rPr>
        <w:t>深圳市龙华建设发展集团有限公司）</w:t>
      </w:r>
    </w:p>
    <w:p>
      <w:pPr>
        <w:spacing w:line="560" w:lineRule="exact"/>
        <w:ind w:firstLine="640"/>
        <w:rPr>
          <w:rFonts w:ascii="仿宋_GB2312" w:hAnsi="仿宋_GB2312" w:cs="仿宋_GB2312"/>
          <w:highlight w:val="none"/>
          <w:shd w:val="clear" w:color="auto" w:fill="auto"/>
        </w:rPr>
      </w:pPr>
      <w:r>
        <w:rPr>
          <w:rFonts w:hint="eastAsia" w:ascii="仿宋_GB2312" w:hAnsi="仿宋_GB2312" w:cs="仿宋_GB2312"/>
          <w:b/>
          <w:bCs/>
          <w:highlight w:val="none"/>
          <w:shd w:val="clear" w:color="auto" w:fill="auto"/>
        </w:rPr>
        <w:t>4.重点谋划建设智能计算中心。</w:t>
      </w:r>
      <w:r>
        <w:rPr>
          <w:rFonts w:hint="eastAsia" w:ascii="仿宋_GB2312" w:hAnsi="仿宋_GB2312" w:cs="仿宋_GB2312"/>
          <w:highlight w:val="none"/>
          <w:shd w:val="clear" w:color="auto" w:fill="auto"/>
        </w:rPr>
        <w:t>统筹区内用能指标，探索异构多元算力的双栈建设模式，建设人工智能算力运营和调度中心，链接区内已有算力资源和边缘计算数据中心，打造“统筹调度”算力供给体系，逐步实现区内外算力资源统一调度和监控，为软件等企业提供低延时、低成本算力资源。</w:t>
      </w:r>
      <w:r>
        <w:rPr>
          <w:rFonts w:hint="eastAsia" w:ascii="仿宋_GB2312" w:hAnsi="仿宋_GB2312" w:cs="仿宋_GB2312"/>
          <w:highlight w:val="none"/>
          <w:shd w:val="clear" w:color="auto" w:fill="auto"/>
        </w:rPr>
        <w:t>为人工智能赋能千行百业提供支持，通过发放算力券为区内企业提供补贴，补贴额度为企业采购金额的30%，上限不超过300万。</w:t>
      </w:r>
      <w:r>
        <w:rPr>
          <w:rFonts w:hint="eastAsia" w:ascii="仿宋_GB2312" w:hAnsi="仿宋_GB2312" w:cs="仿宋_GB2312"/>
          <w:highlight w:val="none"/>
          <w:shd w:val="clear" w:color="auto" w:fill="auto"/>
        </w:rPr>
        <w:t>（牵头单位：区工业和信息化局，配合单位：区发展改革局、区财政局）</w:t>
      </w:r>
    </w:p>
    <w:p>
      <w:pPr>
        <w:pStyle w:val="6"/>
        <w:ind w:firstLine="0" w:firstLineChars="0"/>
        <w:rPr>
          <w:rFonts w:cs="Times New Roman"/>
          <w:b w:val="0"/>
          <w:bCs w:val="0"/>
          <w:szCs w:val="24"/>
          <w:highlight w:val="none"/>
          <w:shd w:val="clear" w:color="auto" w:fill="auto"/>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9" w:type="dxa"/>
          </w:tcPr>
          <w:p>
            <w:pPr>
              <w:adjustRightInd w:val="0"/>
              <w:snapToGrid w:val="0"/>
              <w:spacing w:line="560" w:lineRule="exact"/>
              <w:ind w:firstLine="0" w:firstLineChars="0"/>
              <w:jc w:val="center"/>
              <w:rPr>
                <w:rFonts w:cs="Times New Roman"/>
                <w:kern w:val="0"/>
                <w:sz w:val="28"/>
                <w:szCs w:val="28"/>
                <w:highlight w:val="none"/>
                <w:shd w:val="clear" w:color="auto" w:fill="auto"/>
              </w:rPr>
            </w:pPr>
            <w:r>
              <w:rPr>
                <w:rFonts w:hint="eastAsia" w:ascii="仿宋_GB2312" w:hAnsi="仿宋_GB2312" w:cs="仿宋_GB2312"/>
                <w:b/>
                <w:bCs/>
                <w:kern w:val="0"/>
                <w:sz w:val="28"/>
                <w:szCs w:val="28"/>
                <w:highlight w:val="none"/>
                <w:shd w:val="clear" w:color="auto" w:fill="auto"/>
              </w:rPr>
              <w:t>专栏4 软件基地运营能力提升工程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9" w:type="dxa"/>
          </w:tcPr>
          <w:p>
            <w:pPr>
              <w:widowControl/>
              <w:spacing w:line="560" w:lineRule="exact"/>
              <w:ind w:firstLine="0" w:firstLineChars="0"/>
              <w:rPr>
                <w:rFonts w:cs="Times New Roman"/>
                <w:kern w:val="0"/>
                <w:sz w:val="28"/>
                <w:szCs w:val="28"/>
                <w:highlight w:val="none"/>
                <w:shd w:val="clear" w:color="auto" w:fill="auto"/>
              </w:rPr>
            </w:pPr>
            <w:r>
              <w:rPr>
                <w:rFonts w:hint="eastAsia" w:cs="Times New Roman"/>
                <w:b/>
                <w:bCs/>
                <w:kern w:val="0"/>
                <w:sz w:val="28"/>
                <w:szCs w:val="28"/>
                <w:highlight w:val="none"/>
                <w:shd w:val="clear" w:color="auto" w:fill="auto"/>
              </w:rPr>
              <w:t>建设高品质公共空间</w:t>
            </w:r>
            <w:r>
              <w:rPr>
                <w:rFonts w:cs="Times New Roman"/>
                <w:b/>
                <w:bCs/>
                <w:kern w:val="0"/>
                <w:sz w:val="28"/>
                <w:szCs w:val="28"/>
                <w:highlight w:val="none"/>
                <w:shd w:val="clear" w:color="auto" w:fill="auto"/>
              </w:rPr>
              <w:t>。</w:t>
            </w:r>
            <w:r>
              <w:rPr>
                <w:rFonts w:cs="Times New Roman"/>
                <w:kern w:val="0"/>
                <w:sz w:val="28"/>
                <w:szCs w:val="28"/>
                <w:highlight w:val="none"/>
                <w:shd w:val="clear" w:color="auto" w:fill="auto"/>
              </w:rPr>
              <w:t>围绕</w:t>
            </w:r>
            <w:r>
              <w:rPr>
                <w:rFonts w:hint="eastAsia" w:cs="Times New Roman"/>
                <w:kern w:val="0"/>
                <w:sz w:val="28"/>
                <w:szCs w:val="28"/>
                <w:highlight w:val="none"/>
                <w:shd w:val="clear" w:color="auto" w:fill="auto"/>
              </w:rPr>
              <w:t>软件企业行业特点</w:t>
            </w:r>
            <w:r>
              <w:rPr>
                <w:rFonts w:cs="Times New Roman"/>
                <w:kern w:val="0"/>
                <w:sz w:val="28"/>
                <w:szCs w:val="28"/>
                <w:highlight w:val="none"/>
                <w:shd w:val="clear" w:color="auto" w:fill="auto"/>
              </w:rPr>
              <w:t>，</w:t>
            </w:r>
            <w:r>
              <w:rPr>
                <w:rFonts w:hint="eastAsia" w:cs="Times New Roman"/>
                <w:kern w:val="0"/>
                <w:sz w:val="28"/>
                <w:szCs w:val="28"/>
                <w:highlight w:val="none"/>
                <w:shd w:val="clear" w:color="auto" w:fill="auto"/>
              </w:rPr>
              <w:t>在基地建设</w:t>
            </w:r>
            <w:r>
              <w:rPr>
                <w:rFonts w:cs="Times New Roman"/>
                <w:kern w:val="0"/>
                <w:sz w:val="28"/>
                <w:szCs w:val="28"/>
                <w:highlight w:val="none"/>
                <w:shd w:val="clear" w:color="auto" w:fill="auto"/>
              </w:rPr>
              <w:t>公共会议室、</w:t>
            </w:r>
            <w:r>
              <w:rPr>
                <w:rFonts w:hint="eastAsia" w:cs="Times New Roman"/>
                <w:kern w:val="0"/>
                <w:sz w:val="28"/>
                <w:szCs w:val="28"/>
                <w:highlight w:val="none"/>
                <w:shd w:val="clear" w:color="auto" w:fill="auto"/>
              </w:rPr>
              <w:t>公共健身房、临时</w:t>
            </w:r>
            <w:r>
              <w:rPr>
                <w:rFonts w:cs="Times New Roman"/>
                <w:kern w:val="0"/>
                <w:sz w:val="28"/>
                <w:szCs w:val="28"/>
                <w:highlight w:val="none"/>
                <w:shd w:val="clear" w:color="auto" w:fill="auto"/>
              </w:rPr>
              <w:t>办公室、</w:t>
            </w:r>
            <w:r>
              <w:rPr>
                <w:rFonts w:hint="eastAsia" w:cs="Times New Roman"/>
                <w:kern w:val="0"/>
                <w:sz w:val="28"/>
                <w:szCs w:val="28"/>
                <w:highlight w:val="none"/>
                <w:shd w:val="clear" w:color="auto" w:fill="auto"/>
              </w:rPr>
              <w:t>独立电话亭、</w:t>
            </w:r>
            <w:r>
              <w:rPr>
                <w:rFonts w:cs="Times New Roman"/>
                <w:kern w:val="0"/>
                <w:sz w:val="28"/>
                <w:szCs w:val="28"/>
                <w:highlight w:val="none"/>
                <w:shd w:val="clear" w:color="auto" w:fill="auto"/>
              </w:rPr>
              <w:t>休闲茶水间等办公设施，</w:t>
            </w:r>
            <w:r>
              <w:rPr>
                <w:rFonts w:hint="eastAsia" w:cs="Times New Roman"/>
                <w:kern w:val="0"/>
                <w:sz w:val="28"/>
                <w:szCs w:val="28"/>
                <w:highlight w:val="none"/>
                <w:shd w:val="clear" w:color="auto" w:fill="auto"/>
              </w:rPr>
              <w:t>为入驻企业提供便利</w:t>
            </w:r>
            <w:r>
              <w:rPr>
                <w:rFonts w:cs="Times New Roman"/>
                <w:kern w:val="0"/>
                <w:sz w:val="28"/>
                <w:szCs w:val="28"/>
                <w:highlight w:val="none"/>
                <w:shd w:val="clear" w:color="auto" w:fill="auto"/>
              </w:rPr>
              <w:t>。建设企业品牌展示空间</w:t>
            </w:r>
            <w:r>
              <w:rPr>
                <w:rFonts w:hint="eastAsia" w:cs="Times New Roman"/>
                <w:kern w:val="0"/>
                <w:sz w:val="28"/>
                <w:szCs w:val="28"/>
                <w:highlight w:val="none"/>
                <w:shd w:val="clear" w:color="auto" w:fill="auto"/>
              </w:rPr>
              <w:t>，</w:t>
            </w:r>
            <w:r>
              <w:rPr>
                <w:rFonts w:cs="Times New Roman"/>
                <w:kern w:val="0"/>
                <w:sz w:val="28"/>
                <w:szCs w:val="28"/>
                <w:highlight w:val="none"/>
                <w:shd w:val="clear" w:color="auto" w:fill="auto"/>
              </w:rPr>
              <w:t>遴选企业产品和服务内容，建立园区企业产品展示秀场，支持企业强化品牌建设和宣传。</w:t>
            </w:r>
          </w:p>
          <w:p>
            <w:pPr>
              <w:widowControl/>
              <w:spacing w:line="560" w:lineRule="exact"/>
              <w:ind w:firstLine="0" w:firstLineChars="0"/>
              <w:rPr>
                <w:rFonts w:ascii="仿宋_GB2312" w:hAnsi="仿宋_GB2312" w:cs="仿宋_GB2312"/>
                <w:kern w:val="0"/>
                <w:sz w:val="28"/>
                <w:szCs w:val="28"/>
                <w:highlight w:val="none"/>
                <w:shd w:val="clear" w:color="auto" w:fill="auto"/>
              </w:rPr>
            </w:pPr>
            <w:r>
              <w:rPr>
                <w:rFonts w:hint="eastAsia" w:ascii="仿宋_GB2312" w:hAnsi="仿宋_GB2312" w:cs="仿宋_GB2312"/>
                <w:b/>
                <w:bCs/>
                <w:kern w:val="0"/>
                <w:sz w:val="28"/>
                <w:szCs w:val="28"/>
                <w:highlight w:val="none"/>
                <w:shd w:val="clear" w:color="auto" w:fill="auto"/>
              </w:rPr>
              <w:t>率先布局大模型应用。</w:t>
            </w:r>
            <w:r>
              <w:rPr>
                <w:rFonts w:hint="eastAsia" w:ascii="仿宋_GB2312" w:hAnsi="仿宋_GB2312" w:cs="仿宋_GB2312"/>
                <w:kern w:val="0"/>
                <w:sz w:val="28"/>
                <w:szCs w:val="28"/>
                <w:highlight w:val="none"/>
                <w:shd w:val="clear" w:color="auto" w:fill="auto"/>
              </w:rPr>
              <w:t>加强通用大模型、行业垂直大模型应用，面向智慧园区、智慧运营、企业图谱、企业服务等领域，引入国内领先的大模型打造智能化、自动化、数据化新应用场景，落地一批360智脑、盘古大模型应用示范项目。</w:t>
            </w:r>
          </w:p>
          <w:p>
            <w:pPr>
              <w:widowControl/>
              <w:spacing w:line="560" w:lineRule="exact"/>
              <w:ind w:firstLine="0" w:firstLineChars="0"/>
              <w:rPr>
                <w:rFonts w:cs="Times New Roman"/>
                <w:kern w:val="0"/>
                <w:sz w:val="28"/>
                <w:szCs w:val="28"/>
                <w:highlight w:val="none"/>
                <w:shd w:val="clear" w:color="auto" w:fill="auto"/>
              </w:rPr>
            </w:pPr>
            <w:r>
              <w:rPr>
                <w:rFonts w:hint="eastAsia" w:cs="Times New Roman"/>
                <w:b/>
                <w:bCs/>
                <w:kern w:val="0"/>
                <w:sz w:val="28"/>
                <w:szCs w:val="28"/>
                <w:highlight w:val="none"/>
                <w:shd w:val="clear" w:color="auto" w:fill="auto"/>
              </w:rPr>
              <w:t>提供</w:t>
            </w:r>
            <w:r>
              <w:rPr>
                <w:rFonts w:cs="Times New Roman"/>
                <w:b/>
                <w:bCs/>
                <w:kern w:val="0"/>
                <w:sz w:val="28"/>
                <w:szCs w:val="28"/>
                <w:highlight w:val="none"/>
                <w:shd w:val="clear" w:color="auto" w:fill="auto"/>
              </w:rPr>
              <w:t>政策“免申即享”服务</w:t>
            </w:r>
            <w:r>
              <w:rPr>
                <w:rFonts w:cs="Times New Roman"/>
                <w:kern w:val="0"/>
                <w:sz w:val="28"/>
                <w:szCs w:val="28"/>
                <w:highlight w:val="none"/>
                <w:shd w:val="clear" w:color="auto" w:fill="auto"/>
              </w:rPr>
              <w:t>。搭建智慧</w:t>
            </w:r>
            <w:r>
              <w:rPr>
                <w:rFonts w:hint="eastAsia" w:cs="Times New Roman"/>
                <w:kern w:val="0"/>
                <w:sz w:val="28"/>
                <w:szCs w:val="28"/>
                <w:highlight w:val="none"/>
                <w:shd w:val="clear" w:color="auto" w:fill="auto"/>
              </w:rPr>
              <w:t>管理</w:t>
            </w:r>
            <w:r>
              <w:rPr>
                <w:rFonts w:cs="Times New Roman"/>
                <w:kern w:val="0"/>
                <w:sz w:val="28"/>
                <w:szCs w:val="28"/>
                <w:highlight w:val="none"/>
                <w:shd w:val="clear" w:color="auto" w:fill="auto"/>
              </w:rPr>
              <w:t>平台，</w:t>
            </w:r>
            <w:r>
              <w:rPr>
                <w:rFonts w:hint="eastAsia" w:cs="Times New Roman"/>
                <w:kern w:val="0"/>
                <w:sz w:val="28"/>
                <w:szCs w:val="28"/>
                <w:highlight w:val="none"/>
                <w:shd w:val="clear" w:color="auto" w:fill="auto"/>
              </w:rPr>
              <w:t>建立“一企一档”服务档案，结合企业产能布局、营收税收等情况，精准推送相关政策。依托深圳（龙华区）数字赋能公共服务平台，</w:t>
            </w:r>
            <w:r>
              <w:rPr>
                <w:rFonts w:cs="Times New Roman"/>
                <w:kern w:val="0"/>
                <w:sz w:val="28"/>
                <w:szCs w:val="28"/>
                <w:highlight w:val="none"/>
                <w:shd w:val="clear" w:color="auto" w:fill="auto"/>
              </w:rPr>
              <w:t>精准推送适配度高的产业资讯，</w:t>
            </w:r>
            <w:r>
              <w:rPr>
                <w:rFonts w:hint="eastAsia" w:cs="Times New Roman"/>
                <w:kern w:val="0"/>
                <w:sz w:val="28"/>
                <w:szCs w:val="28"/>
                <w:highlight w:val="none"/>
                <w:shd w:val="clear" w:color="auto" w:fill="auto"/>
              </w:rPr>
              <w:t>帮助企业找市场</w:t>
            </w:r>
            <w:r>
              <w:rPr>
                <w:rFonts w:cs="Times New Roman"/>
                <w:kern w:val="0"/>
                <w:sz w:val="28"/>
                <w:szCs w:val="28"/>
                <w:highlight w:val="none"/>
                <w:shd w:val="clear" w:color="auto" w:fill="auto"/>
              </w:rPr>
              <w:t>。</w:t>
            </w:r>
          </w:p>
          <w:p>
            <w:pPr>
              <w:widowControl/>
              <w:spacing w:line="560" w:lineRule="exact"/>
              <w:ind w:firstLine="0" w:firstLineChars="0"/>
              <w:rPr>
                <w:rFonts w:cs="Times New Roman"/>
                <w:kern w:val="0"/>
                <w:sz w:val="28"/>
                <w:szCs w:val="28"/>
                <w:highlight w:val="none"/>
                <w:shd w:val="clear" w:color="auto" w:fill="auto"/>
              </w:rPr>
            </w:pPr>
            <w:r>
              <w:rPr>
                <w:rFonts w:hint="eastAsia" w:cs="Times New Roman"/>
                <w:b/>
                <w:bCs/>
                <w:kern w:val="0"/>
                <w:sz w:val="28"/>
                <w:szCs w:val="28"/>
                <w:highlight w:val="none"/>
                <w:shd w:val="clear" w:color="auto" w:fill="auto"/>
              </w:rPr>
              <w:t>提升配套商业品质</w:t>
            </w:r>
            <w:r>
              <w:rPr>
                <w:rFonts w:cs="Times New Roman"/>
                <w:b/>
                <w:bCs/>
                <w:kern w:val="0"/>
                <w:sz w:val="28"/>
                <w:szCs w:val="28"/>
                <w:highlight w:val="none"/>
                <w:shd w:val="clear" w:color="auto" w:fill="auto"/>
              </w:rPr>
              <w:t>。</w:t>
            </w:r>
            <w:r>
              <w:rPr>
                <w:rFonts w:hint="eastAsia" w:cs="Times New Roman"/>
                <w:kern w:val="0"/>
                <w:sz w:val="28"/>
                <w:szCs w:val="28"/>
                <w:highlight w:val="none"/>
                <w:shd w:val="clear" w:color="auto" w:fill="auto"/>
              </w:rPr>
              <w:t>聚焦程序员消费趋向，优化商业、餐饮和生活服务配套，参照典型案例引入科技实力强、市场接受度高、影响力大的餐饮、服务和商业品牌，为基地企业及周边居民提供全方位高品质的生活服务。</w:t>
            </w:r>
          </w:p>
        </w:tc>
      </w:tr>
    </w:tbl>
    <w:p>
      <w:pPr>
        <w:pStyle w:val="4"/>
        <w:keepNext w:val="0"/>
        <w:keepLines w:val="0"/>
        <w:spacing w:line="560" w:lineRule="exact"/>
        <w:ind w:firstLine="640"/>
        <w:rPr>
          <w:rFonts w:cs="Times New Roman"/>
          <w:color w:val="auto"/>
          <w:highlight w:val="none"/>
          <w:shd w:val="clear" w:color="auto" w:fill="auto"/>
        </w:rPr>
      </w:pPr>
      <w:bookmarkStart w:id="20" w:name="_Toc27032"/>
      <w:bookmarkStart w:id="21" w:name="_Toc16242"/>
      <w:r>
        <w:rPr>
          <w:rFonts w:hint="eastAsia" w:cs="Times New Roman"/>
          <w:color w:val="auto"/>
          <w:highlight w:val="none"/>
          <w:shd w:val="clear" w:color="auto" w:fill="auto"/>
        </w:rPr>
        <w:t>五</w:t>
      </w:r>
      <w:r>
        <w:rPr>
          <w:rFonts w:cs="Times New Roman"/>
          <w:color w:val="auto"/>
          <w:highlight w:val="none"/>
          <w:shd w:val="clear" w:color="auto" w:fill="auto"/>
        </w:rPr>
        <w:t>、保障措施</w:t>
      </w:r>
      <w:bookmarkEnd w:id="20"/>
      <w:bookmarkEnd w:id="21"/>
    </w:p>
    <w:p>
      <w:pPr>
        <w:widowControl/>
        <w:spacing w:line="560" w:lineRule="exact"/>
        <w:ind w:firstLine="640"/>
        <w:rPr>
          <w:rFonts w:ascii="楷体_GB2312" w:hAnsi="楷体_GB2312" w:eastAsia="楷体_GB2312" w:cs="楷体_GB2312"/>
          <w:highlight w:val="none"/>
          <w:shd w:val="clear" w:color="auto" w:fill="auto"/>
        </w:rPr>
      </w:pPr>
      <w:r>
        <w:rPr>
          <w:rFonts w:hint="eastAsia" w:ascii="楷体_GB2312" w:hAnsi="楷体_GB2312" w:eastAsia="楷体_GB2312" w:cs="楷体_GB2312"/>
          <w:highlight w:val="none"/>
          <w:shd w:val="clear" w:color="auto" w:fill="auto"/>
        </w:rPr>
        <w:t>（一）健全组织实施机制</w:t>
      </w:r>
    </w:p>
    <w:p>
      <w:pPr>
        <w:widowControl/>
        <w:spacing w:line="560" w:lineRule="exact"/>
        <w:ind w:firstLine="640"/>
        <w:rPr>
          <w:rFonts w:ascii="仿宋_GB2312" w:hAnsi="仿宋_GB2312" w:cs="仿宋_GB2312"/>
          <w:highlight w:val="none"/>
          <w:shd w:val="clear" w:color="auto" w:fill="auto"/>
        </w:rPr>
      </w:pPr>
      <w:r>
        <w:rPr>
          <w:rFonts w:hint="eastAsia" w:ascii="仿宋_GB2312" w:hAnsi="仿宋_GB2312" w:cs="仿宋_GB2312"/>
          <w:highlight w:val="none"/>
          <w:shd w:val="clear" w:color="auto" w:fill="auto"/>
        </w:rPr>
        <w:t>设立专项推进工作组，构建“统一管理、部门联动、分工负责、合力推进”的工作格局，统筹推进基地建设、招商引资、企业培育、政策扶持、应用示范等重点工作。主动对接上级部门，争取工信部、省、市在软件产业政策试点、软件名城名园建设、公共服务平台建设等方面给予支持。组建软件和信息技术领域专家库，定期就产业发展问题提供专业指导和服务。</w:t>
      </w:r>
    </w:p>
    <w:p>
      <w:pPr>
        <w:widowControl/>
        <w:spacing w:line="560" w:lineRule="exact"/>
        <w:ind w:firstLine="640"/>
        <w:rPr>
          <w:rFonts w:ascii="楷体_GB2312" w:hAnsi="楷体_GB2312" w:eastAsia="楷体_GB2312" w:cs="楷体_GB2312"/>
          <w:highlight w:val="none"/>
          <w:shd w:val="clear" w:color="auto" w:fill="auto"/>
        </w:rPr>
      </w:pPr>
      <w:r>
        <w:rPr>
          <w:rFonts w:hint="eastAsia" w:ascii="楷体_GB2312" w:hAnsi="楷体_GB2312" w:eastAsia="楷体_GB2312" w:cs="楷体_GB2312"/>
          <w:highlight w:val="none"/>
          <w:shd w:val="clear" w:color="auto" w:fill="auto"/>
        </w:rPr>
        <w:t>（二）加大政策支持力度</w:t>
      </w:r>
    </w:p>
    <w:p>
      <w:pPr>
        <w:widowControl/>
        <w:spacing w:line="560" w:lineRule="exact"/>
        <w:ind w:firstLine="640"/>
        <w:rPr>
          <w:rFonts w:ascii="仿宋_GB2312" w:hAnsi="仿宋_GB2312" w:cs="仿宋_GB2312"/>
          <w:highlight w:val="none"/>
          <w:shd w:val="clear" w:color="auto" w:fill="auto"/>
        </w:rPr>
      </w:pPr>
      <w:r>
        <w:rPr>
          <w:rFonts w:hint="eastAsia" w:ascii="仿宋_GB2312" w:hAnsi="仿宋_GB2312" w:cs="仿宋_GB2312"/>
          <w:highlight w:val="none"/>
          <w:shd w:val="clear" w:color="auto" w:fill="auto"/>
        </w:rPr>
        <w:t>全面落实国家对软件产品增值税、软件企业所得税、股权激励个人所得税、创业就业平台和小微企业税收优惠等相关政策，联合相关机构加强面向企业的政策宣贯和咨询辅导，充分保障软件企业享受各项财税优惠政策。根据软件产业实际发展需求，制定深圳北软件基地专项支持政策，增加算力相关补贴，重点为软件人才提供医疗、教育、安居等支持，适时优化调整《龙华区支持软件产业发展若干政策》，加大对软件企业在关键技术攻关、骨干企业培育、产品品牌创建、应用场景开放等方面的扶持力度。</w:t>
      </w:r>
    </w:p>
    <w:p>
      <w:pPr>
        <w:widowControl/>
        <w:spacing w:line="560" w:lineRule="exact"/>
        <w:ind w:firstLine="640"/>
        <w:rPr>
          <w:rFonts w:ascii="楷体_GB2312" w:hAnsi="楷体_GB2312" w:eastAsia="楷体_GB2312" w:cs="楷体_GB2312"/>
          <w:highlight w:val="none"/>
          <w:shd w:val="clear" w:color="auto" w:fill="auto"/>
        </w:rPr>
      </w:pPr>
      <w:r>
        <w:rPr>
          <w:rFonts w:hint="eastAsia" w:ascii="楷体_GB2312" w:hAnsi="楷体_GB2312" w:eastAsia="楷体_GB2312" w:cs="楷体_GB2312"/>
          <w:highlight w:val="none"/>
          <w:shd w:val="clear" w:color="auto" w:fill="auto"/>
        </w:rPr>
        <w:t>（三）加强考核评估</w:t>
      </w:r>
    </w:p>
    <w:p>
      <w:pPr>
        <w:widowControl/>
        <w:spacing w:line="560" w:lineRule="exact"/>
        <w:ind w:firstLine="640"/>
        <w:rPr>
          <w:rFonts w:cs="Times New Roman"/>
          <w:highlight w:val="none"/>
          <w:shd w:val="clear" w:color="auto" w:fill="auto"/>
        </w:rPr>
      </w:pPr>
      <w:r>
        <w:rPr>
          <w:rFonts w:hint="eastAsia" w:cs="Times New Roman"/>
          <w:highlight w:val="none"/>
          <w:shd w:val="clear" w:color="auto" w:fill="auto"/>
        </w:rPr>
        <w:t>建立健全产业基地发展考核评估机制，以基地发展规划的战略定位、发展目标和重点任务为指引，按部门分解目标任务，实行长效化、动态化、连续性考核管理，明确各项重点任务关键时间节点，定期开展督查督办。对基地发展进行动态评估，及时发现、研究和解决基地建设及企业发展过程中存在的问题，持续提升基地综合发展水平。</w:t>
      </w:r>
    </w:p>
    <w:p>
      <w:pPr>
        <w:pStyle w:val="2"/>
        <w:ind w:firstLine="0" w:firstLineChars="0"/>
        <w:rPr>
          <w:highlight w:val="none"/>
          <w:shd w:val="clear" w:color="auto" w:fill="auto"/>
        </w:rPr>
      </w:pPr>
    </w:p>
    <w:sectPr>
      <w:headerReference r:id="rId5" w:type="default"/>
      <w:footerReference r:id="rId6" w:type="default"/>
      <w:pgSz w:w="11906" w:h="16838"/>
      <w:pgMar w:top="2098" w:right="1474" w:bottom="1984" w:left="1587"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Garamond">
    <w:altName w:val="FreeSerif"/>
    <w:panose1 w:val="02020404030301010803"/>
    <w:charset w:val="00"/>
    <w:family w:val="roman"/>
    <w:pitch w:val="default"/>
    <w:sig w:usb0="00000000" w:usb1="00000000" w:usb2="00000000" w:usb3="00000000" w:csb0="0000009F" w:csb1="00000000"/>
  </w:font>
  <w:font w:name="Cambria">
    <w:altName w:val="FreeSerif"/>
    <w:panose1 w:val="02040503050406030204"/>
    <w:charset w:val="00"/>
    <w:family w:val="roman"/>
    <w:pitch w:val="default"/>
    <w:sig w:usb0="00000000" w:usb1="00000000" w:usb2="02000000" w:usb3="00000000" w:csb0="0000019F" w:csb1="00000000"/>
  </w:font>
  <w:font w:name="方正小标宋简体">
    <w:panose1 w:val="02000000000000000000"/>
    <w:charset w:val="86"/>
    <w:family w:val="auto"/>
    <w:pitch w:val="default"/>
    <w:sig w:usb0="A00002BF" w:usb1="184F6CFA" w:usb2="00000012"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MS Gothic">
    <w:altName w:val="方正书宋_GBK"/>
    <w:panose1 w:val="020B0609070205080204"/>
    <w:charset w:val="80"/>
    <w:family w:val="modern"/>
    <w:pitch w:val="default"/>
    <w:sig w:usb0="00000000" w:usb1="00000000" w:usb2="08000012" w:usb3="00000000" w:csb0="0002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ejaVu Math TeX Gyre">
    <w:panose1 w:val="02000503000000000000"/>
    <w:charset w:val="00"/>
    <w:family w:val="auto"/>
    <w:pitch w:val="default"/>
    <w:sig w:usb0="A10000EF" w:usb1="4201F9EE" w:usb2="02000000" w:usb3="00000000" w:csb0="60000193" w:csb1="0DD40000"/>
  </w:font>
  <w:font w:name="华文仿宋">
    <w:panose1 w:val="02010600040101010101"/>
    <w:charset w:val="86"/>
    <w:family w:val="auto"/>
    <w:pitch w:val="default"/>
    <w:sig w:usb0="00000287" w:usb1="080F0000" w:usb2="00000000" w:usb3="00000000" w:csb0="0004009F" w:csb1="DFD7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56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10"/>
                      <w:ind w:firstLine="56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CE0C7C"/>
    <w:multiLevelType w:val="singleLevel"/>
    <w:tmpl w:val="F8CE0C7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0YmE1ZGMxMDY2NTBkZTdhYTc1YTRhNGE4MTNlYjQifQ=="/>
  </w:docVars>
  <w:rsids>
    <w:rsidRoot w:val="00172A27"/>
    <w:rsid w:val="000A6368"/>
    <w:rsid w:val="00172A27"/>
    <w:rsid w:val="001F611C"/>
    <w:rsid w:val="003429E4"/>
    <w:rsid w:val="00601493"/>
    <w:rsid w:val="00E77964"/>
    <w:rsid w:val="01502E1B"/>
    <w:rsid w:val="0DC016DB"/>
    <w:rsid w:val="0DD6C9F6"/>
    <w:rsid w:val="0F614768"/>
    <w:rsid w:val="10FBE2BB"/>
    <w:rsid w:val="11DEF2F1"/>
    <w:rsid w:val="14101C60"/>
    <w:rsid w:val="18E6070F"/>
    <w:rsid w:val="1F582B10"/>
    <w:rsid w:val="1FCD8113"/>
    <w:rsid w:val="216FDA4C"/>
    <w:rsid w:val="217B4930"/>
    <w:rsid w:val="25D647F8"/>
    <w:rsid w:val="27B41DD7"/>
    <w:rsid w:val="2FFB9A0E"/>
    <w:rsid w:val="3081268A"/>
    <w:rsid w:val="339F10DF"/>
    <w:rsid w:val="34AF4829"/>
    <w:rsid w:val="35030B5C"/>
    <w:rsid w:val="36AF0B22"/>
    <w:rsid w:val="36FE30A7"/>
    <w:rsid w:val="372B21BA"/>
    <w:rsid w:val="376EDEAD"/>
    <w:rsid w:val="376FA846"/>
    <w:rsid w:val="37FBF801"/>
    <w:rsid w:val="3BDEE765"/>
    <w:rsid w:val="3EFFD9F2"/>
    <w:rsid w:val="3F476614"/>
    <w:rsid w:val="49B35463"/>
    <w:rsid w:val="4CDBEB81"/>
    <w:rsid w:val="4FC95B80"/>
    <w:rsid w:val="4FE16333"/>
    <w:rsid w:val="4FFFF8D0"/>
    <w:rsid w:val="53DD1533"/>
    <w:rsid w:val="542C73CB"/>
    <w:rsid w:val="57FF82D8"/>
    <w:rsid w:val="587972C4"/>
    <w:rsid w:val="59DA6A8A"/>
    <w:rsid w:val="5A63E5EE"/>
    <w:rsid w:val="5AF5518B"/>
    <w:rsid w:val="5BFFAB07"/>
    <w:rsid w:val="5E7F816B"/>
    <w:rsid w:val="5EBBB009"/>
    <w:rsid w:val="5FF727B3"/>
    <w:rsid w:val="631355F3"/>
    <w:rsid w:val="64481AB9"/>
    <w:rsid w:val="6658151E"/>
    <w:rsid w:val="697B79CD"/>
    <w:rsid w:val="6BFD5B4F"/>
    <w:rsid w:val="6DDDB7E7"/>
    <w:rsid w:val="6E357132"/>
    <w:rsid w:val="6E9FCF38"/>
    <w:rsid w:val="6EF7A199"/>
    <w:rsid w:val="6F785AA8"/>
    <w:rsid w:val="6F7FC963"/>
    <w:rsid w:val="6FF9BF17"/>
    <w:rsid w:val="6FF9C994"/>
    <w:rsid w:val="6FFE89FE"/>
    <w:rsid w:val="6FFFAC14"/>
    <w:rsid w:val="740270E9"/>
    <w:rsid w:val="76BEECA3"/>
    <w:rsid w:val="76FF7126"/>
    <w:rsid w:val="77CE797D"/>
    <w:rsid w:val="77DEE4DF"/>
    <w:rsid w:val="77FD40C8"/>
    <w:rsid w:val="7969F746"/>
    <w:rsid w:val="7A882AD8"/>
    <w:rsid w:val="7B3FE3D7"/>
    <w:rsid w:val="7BBFF0B4"/>
    <w:rsid w:val="7BCE90AE"/>
    <w:rsid w:val="7BDF528D"/>
    <w:rsid w:val="7BFF73CD"/>
    <w:rsid w:val="7CAE6906"/>
    <w:rsid w:val="7D737379"/>
    <w:rsid w:val="7D77EF99"/>
    <w:rsid w:val="7DF357D8"/>
    <w:rsid w:val="7E76BA07"/>
    <w:rsid w:val="7EAC9411"/>
    <w:rsid w:val="7EB33500"/>
    <w:rsid w:val="7F7F1568"/>
    <w:rsid w:val="7F7F807D"/>
    <w:rsid w:val="7F7FE1E7"/>
    <w:rsid w:val="7FB20213"/>
    <w:rsid w:val="7FBA1208"/>
    <w:rsid w:val="7FBE6378"/>
    <w:rsid w:val="7FF774FE"/>
    <w:rsid w:val="7FF799EE"/>
    <w:rsid w:val="8F6F1160"/>
    <w:rsid w:val="9EF31773"/>
    <w:rsid w:val="9F7D3845"/>
    <w:rsid w:val="AAE9D958"/>
    <w:rsid w:val="B3FF485C"/>
    <w:rsid w:val="B5E91D54"/>
    <w:rsid w:val="B7B7ACBB"/>
    <w:rsid w:val="BD9FD3EB"/>
    <w:rsid w:val="BEEB1AF3"/>
    <w:rsid w:val="BF3FBCFF"/>
    <w:rsid w:val="BF7672C6"/>
    <w:rsid w:val="BFDF7F18"/>
    <w:rsid w:val="BFFA440F"/>
    <w:rsid w:val="BFFFCE8D"/>
    <w:rsid w:val="C9BD1286"/>
    <w:rsid w:val="CBE38D34"/>
    <w:rsid w:val="CEF7C442"/>
    <w:rsid w:val="CF1EF617"/>
    <w:rsid w:val="D3FE57F6"/>
    <w:rsid w:val="D7F5DBB3"/>
    <w:rsid w:val="DA7683C7"/>
    <w:rsid w:val="DBB263CF"/>
    <w:rsid w:val="DCAF2601"/>
    <w:rsid w:val="DD7DC8DF"/>
    <w:rsid w:val="DF8CB7EF"/>
    <w:rsid w:val="DFFF8A6B"/>
    <w:rsid w:val="E1AFF7C9"/>
    <w:rsid w:val="E72CF429"/>
    <w:rsid w:val="E7C6C1ED"/>
    <w:rsid w:val="EDF986E1"/>
    <w:rsid w:val="EDFB9C2A"/>
    <w:rsid w:val="EE7F9CA5"/>
    <w:rsid w:val="EF541EF9"/>
    <w:rsid w:val="EF6FEC62"/>
    <w:rsid w:val="EFEBE73F"/>
    <w:rsid w:val="EFFDE8EE"/>
    <w:rsid w:val="F2FF08BF"/>
    <w:rsid w:val="F5FEC2C4"/>
    <w:rsid w:val="F6BF2D30"/>
    <w:rsid w:val="F6C7D01B"/>
    <w:rsid w:val="F7FF001D"/>
    <w:rsid w:val="FABF2568"/>
    <w:rsid w:val="FB33E238"/>
    <w:rsid w:val="FBF5E645"/>
    <w:rsid w:val="FD3E0B0B"/>
    <w:rsid w:val="FDDF3695"/>
    <w:rsid w:val="FDFF0A5B"/>
    <w:rsid w:val="FEFD90BD"/>
    <w:rsid w:val="FEFF3515"/>
    <w:rsid w:val="FF3F6BD2"/>
    <w:rsid w:val="FFB7FB16"/>
    <w:rsid w:val="FFCF79B2"/>
    <w:rsid w:val="FFDF6766"/>
    <w:rsid w:val="FFFEC808"/>
    <w:rsid w:val="FFFEF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20" w:lineRule="exact"/>
      <w:ind w:firstLine="200" w:firstLineChars="200"/>
      <w:jc w:val="both"/>
    </w:pPr>
    <w:rPr>
      <w:rFonts w:ascii="Times New Roman" w:hAnsi="Times New Roman" w:eastAsia="仿宋_GB2312" w:cstheme="minorBidi"/>
      <w:kern w:val="2"/>
      <w:sz w:val="32"/>
      <w:szCs w:val="24"/>
      <w:lang w:val="en-US" w:eastAsia="zh-CN" w:bidi="ar-SA"/>
    </w:rPr>
  </w:style>
  <w:style w:type="paragraph" w:styleId="4">
    <w:name w:val="heading 1"/>
    <w:basedOn w:val="1"/>
    <w:next w:val="1"/>
    <w:qFormat/>
    <w:uiPriority w:val="0"/>
    <w:pPr>
      <w:keepNext/>
      <w:keepLines/>
      <w:jc w:val="left"/>
      <w:outlineLvl w:val="0"/>
    </w:pPr>
    <w:rPr>
      <w:rFonts w:eastAsia="黑体"/>
      <w:bCs/>
      <w:color w:val="000000"/>
      <w:kern w:val="44"/>
      <w:szCs w:val="44"/>
    </w:rPr>
  </w:style>
  <w:style w:type="paragraph" w:styleId="5">
    <w:name w:val="heading 2"/>
    <w:basedOn w:val="1"/>
    <w:next w:val="1"/>
    <w:unhideWhenUsed/>
    <w:qFormat/>
    <w:uiPriority w:val="9"/>
    <w:pPr>
      <w:keepNext/>
      <w:keepLines/>
      <w:outlineLvl w:val="1"/>
    </w:pPr>
    <w:rPr>
      <w:rFonts w:eastAsia="楷体_GB2312" w:asciiTheme="minorHAnsi" w:hAnsiTheme="minorHAnsi" w:cstheme="majorBidi"/>
      <w:b/>
      <w:bCs/>
      <w:szCs w:val="32"/>
    </w:rPr>
  </w:style>
  <w:style w:type="paragraph" w:styleId="6">
    <w:name w:val="heading 3"/>
    <w:basedOn w:val="1"/>
    <w:next w:val="1"/>
    <w:unhideWhenUsed/>
    <w:qFormat/>
    <w:uiPriority w:val="9"/>
    <w:pPr>
      <w:keepNext/>
      <w:keepLines/>
      <w:adjustRightInd w:val="0"/>
      <w:snapToGrid w:val="0"/>
      <w:outlineLvl w:val="2"/>
    </w:pPr>
    <w:rPr>
      <w:b/>
      <w:bCs/>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3"/>
    <w:qFormat/>
    <w:uiPriority w:val="0"/>
    <w:pPr>
      <w:spacing w:after="0" w:line="300" w:lineRule="auto"/>
      <w:ind w:left="0" w:leftChars="0"/>
    </w:pPr>
  </w:style>
  <w:style w:type="paragraph" w:styleId="3">
    <w:name w:val="Body Text Indent 2"/>
    <w:basedOn w:val="1"/>
    <w:qFormat/>
    <w:uiPriority w:val="0"/>
    <w:pPr>
      <w:spacing w:after="120" w:line="480" w:lineRule="auto"/>
      <w:ind w:left="420" w:leftChars="200"/>
    </w:pPr>
  </w:style>
  <w:style w:type="paragraph" w:styleId="7">
    <w:name w:val="Body Text"/>
    <w:basedOn w:val="1"/>
    <w:next w:val="8"/>
    <w:qFormat/>
    <w:uiPriority w:val="0"/>
    <w:pPr>
      <w:spacing w:line="560" w:lineRule="exact"/>
      <w:ind w:firstLine="880"/>
    </w:pPr>
    <w:rPr>
      <w:rFonts w:ascii="Garamond" w:hAnsi="Garamond" w:eastAsia="宋体" w:cs="Times New Roman"/>
      <w:sz w:val="21"/>
      <w:szCs w:val="22"/>
    </w:rPr>
  </w:style>
  <w:style w:type="paragraph" w:styleId="8">
    <w:name w:val="Title"/>
    <w:basedOn w:val="1"/>
    <w:next w:val="1"/>
    <w:qFormat/>
    <w:uiPriority w:val="0"/>
    <w:pPr>
      <w:spacing w:before="240" w:after="60"/>
      <w:jc w:val="center"/>
      <w:outlineLvl w:val="0"/>
    </w:pPr>
    <w:rPr>
      <w:rFonts w:ascii="Cambria" w:hAnsi="Cambria"/>
      <w:b/>
      <w:bCs/>
      <w:szCs w:val="32"/>
    </w:rPr>
  </w:style>
  <w:style w:type="paragraph" w:styleId="9">
    <w:name w:val="Plain Text"/>
    <w:basedOn w:val="1"/>
    <w:qFormat/>
    <w:uiPriority w:val="99"/>
    <w:rPr>
      <w:rFonts w:ascii="宋体" w:hAnsi="Courier New" w:cs="宋体"/>
    </w:rPr>
  </w:style>
  <w:style w:type="paragraph" w:styleId="10">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2">
    <w:name w:val="toc 1"/>
    <w:basedOn w:val="1"/>
    <w:next w:val="1"/>
    <w:qFormat/>
    <w:uiPriority w:val="39"/>
    <w:pPr>
      <w:tabs>
        <w:tab w:val="right" w:leader="middleDot" w:pos="8298"/>
      </w:tabs>
      <w:ind w:firstLine="0" w:firstLineChars="0"/>
      <w:jc w:val="left"/>
    </w:pPr>
    <w:rPr>
      <w:rFonts w:eastAsia="黑体" w:asciiTheme="minorHAnsi" w:hAnsiTheme="minorHAnsi"/>
    </w:rPr>
  </w:style>
  <w:style w:type="paragraph" w:styleId="13">
    <w:name w:val="toc 2"/>
    <w:basedOn w:val="1"/>
    <w:next w:val="1"/>
    <w:unhideWhenUsed/>
    <w:qFormat/>
    <w:uiPriority w:val="39"/>
    <w:pPr>
      <w:tabs>
        <w:tab w:val="right" w:pos="8298"/>
      </w:tabs>
      <w:ind w:left="221" w:firstLine="0" w:firstLineChars="0"/>
    </w:pPr>
    <w:rPr>
      <w:rFonts w:eastAsia="楷体_GB2312" w:asciiTheme="minorHAnsi" w:hAnsiTheme="minorHAnsi"/>
    </w:rPr>
  </w:style>
  <w:style w:type="paragraph" w:styleId="14">
    <w:name w:val="Body Text First Indent"/>
    <w:basedOn w:val="7"/>
    <w:unhideWhenUsed/>
    <w:qFormat/>
    <w:uiPriority w:val="99"/>
    <w:pPr>
      <w:ind w:firstLine="420" w:firstLineChars="100"/>
    </w:p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图表标题"/>
    <w:basedOn w:val="2"/>
    <w:qFormat/>
    <w:uiPriority w:val="1"/>
    <w:pPr>
      <w:ind w:firstLine="420"/>
      <w:jc w:val="center"/>
    </w:pPr>
    <w:rPr>
      <w:sz w:val="21"/>
      <w:szCs w:val="21"/>
    </w:rPr>
  </w:style>
  <w:style w:type="paragraph" w:customStyle="1" w:styleId="19">
    <w:name w:val="Revision"/>
    <w:hidden/>
    <w:unhideWhenUsed/>
    <w:qFormat/>
    <w:uiPriority w:val="99"/>
    <w:rPr>
      <w:rFonts w:ascii="Times New Roman" w:hAnsi="Times New Roman" w:eastAsia="仿宋_GB2312"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3691</Words>
  <Characters>21040</Characters>
  <Lines>175</Lines>
  <Paragraphs>49</Paragraphs>
  <TotalTime>256</TotalTime>
  <ScaleCrop>false</ScaleCrop>
  <LinksUpToDate>false</LinksUpToDate>
  <CharactersWithSpaces>24682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2024-01-27T11:19:00Z</dcterms:created>
  <dc:creator>。</dc:creator>
  <cp:lastModifiedBy>longhua</cp:lastModifiedBy>
  <cp:lastPrinted>2024-02-19T21:58:00Z</cp:lastPrinted>
  <dcterms:modified xsi:type="dcterms:W3CDTF">2024-02-21T15:50:56Z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B5D546B308EF4810A58E462740A83E35</vt:lpwstr>
  </property>
</Properties>
</file>