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kinsoku/>
        <w:wordWrap/>
        <w:overflowPunct/>
        <w:topLinePunct w:val="0"/>
        <w:autoSpaceDE/>
        <w:autoSpaceDN/>
        <w:bidi w:val="0"/>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《龙华区打造深圳北软件产业基地三年实施方案（2024—2026）（征求意见稿）》</w:t>
      </w:r>
    </w:p>
    <w:p>
      <w:pPr>
        <w:pStyle w:val="12"/>
        <w:keepNext w:val="0"/>
        <w:keepLines w:val="0"/>
        <w:pageBreakBefore w:val="0"/>
        <w:widowControl/>
        <w:kinsoku/>
        <w:wordWrap/>
        <w:overflowPunct/>
        <w:topLinePunct w:val="0"/>
        <w:autoSpaceDE/>
        <w:autoSpaceDN/>
        <w:bidi w:val="0"/>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编制说明</w:t>
      </w:r>
    </w:p>
    <w:p>
      <w:pPr>
        <w:pStyle w:val="12"/>
        <w:keepNext w:val="0"/>
        <w:keepLines w:val="0"/>
        <w:pageBreakBefore w:val="0"/>
        <w:widowControl/>
        <w:kinsoku/>
        <w:wordWrap/>
        <w:overflowPunct/>
        <w:topLinePunct w:val="0"/>
        <w:autoSpaceDE/>
        <w:autoSpaceDN/>
        <w:bidi w:val="0"/>
        <w:spacing w:before="0" w:beforeAutospacing="0" w:after="0" w:afterAutospacing="0" w:line="560" w:lineRule="exact"/>
        <w:jc w:val="left"/>
        <w:textAlignment w:val="auto"/>
        <w:rPr>
          <w:rFonts w:hint="eastAsia" w:ascii="仿宋_GB2312" w:hAnsi="仿宋_GB2312" w:eastAsia="仿宋_GB2312" w:cs="仿宋_GB2312"/>
          <w:color w:val="auto"/>
          <w:sz w:val="32"/>
          <w:szCs w:val="32"/>
          <w:lang w:eastAsia="zh-CN"/>
        </w:rPr>
      </w:pPr>
    </w:p>
    <w:p>
      <w:pPr>
        <w:pStyle w:val="12"/>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highlight w:val="none"/>
          <w:shd w:val="clear" w:color="auto" w:fill="auto"/>
          <w:lang w:eastAsia="zh-CN"/>
        </w:rPr>
        <w:t>为扎实推进深圳市数字经济核心区发展战略，</w:t>
      </w:r>
      <w:r>
        <w:rPr>
          <w:rFonts w:hint="eastAsia" w:ascii="仿宋_GB2312" w:hAnsi="仿宋_GB2312" w:eastAsia="仿宋_GB2312" w:cs="仿宋_GB2312"/>
          <w:sz w:val="32"/>
          <w:szCs w:val="32"/>
          <w:highlight w:val="none"/>
          <w:shd w:val="clear" w:color="auto" w:fill="auto"/>
        </w:rPr>
        <w:t>促进龙华区软件产业高质量发展，推动软件与信息服务产业扩规模、提质量、增效益，汇聚软件产业生态、人才、科技、金融、服务全要素，建设成为全市软件产业主力承载区和软件人才宜居宜业宜创集聚区，</w:t>
      </w:r>
      <w:r>
        <w:rPr>
          <w:rFonts w:hint="eastAsia" w:ascii="仿宋_GB2312" w:hAnsi="仿宋_GB2312" w:eastAsia="仿宋_GB2312" w:cs="仿宋_GB2312"/>
          <w:b w:val="0"/>
          <w:color w:val="auto"/>
          <w:sz w:val="32"/>
          <w:szCs w:val="32"/>
          <w:lang w:val="en-US" w:eastAsia="zh-CN"/>
        </w:rPr>
        <w:t>我局组织编制了《龙华区打造深圳北软件产业基地三年实施方案（2024—2026）（征求意见稿）》</w:t>
      </w:r>
      <w:r>
        <w:rPr>
          <w:rFonts w:hint="eastAsia" w:ascii="仿宋_GB2312" w:hAnsi="仿宋_GB2312" w:eastAsia="仿宋_GB2312" w:cs="仿宋_GB2312"/>
          <w:color w:val="auto"/>
          <w:sz w:val="32"/>
          <w:lang w:eastAsia="zh-CN"/>
        </w:rPr>
        <w:t>（以下简称《实施方案（征求意见稿）》）。现将</w:t>
      </w:r>
      <w:r>
        <w:rPr>
          <w:rFonts w:hint="eastAsia" w:ascii="仿宋_GB2312" w:hAnsi="仿宋_GB2312" w:eastAsia="仿宋_GB2312" w:cs="仿宋_GB2312"/>
          <w:b w:val="0"/>
          <w:color w:val="auto"/>
          <w:sz w:val="32"/>
          <w:szCs w:val="32"/>
          <w:lang w:val="en-US" w:eastAsia="zh-CN"/>
        </w:rPr>
        <w:t>有关编制情况说明如下：</w:t>
      </w:r>
    </w:p>
    <w:p>
      <w:pPr>
        <w:keepNext w:val="0"/>
        <w:keepLines w:val="0"/>
        <w:pageBreakBefore w:val="0"/>
        <w:numPr>
          <w:ilvl w:val="0"/>
          <w:numId w:val="1"/>
        </w:numPr>
        <w:kinsoku/>
        <w:wordWrap/>
        <w:overflowPunct/>
        <w:topLinePunct w:val="0"/>
        <w:autoSpaceDE/>
        <w:autoSpaceDN/>
        <w:bidi w:val="0"/>
        <w:adjustRightInd w:val="0"/>
        <w:snapToGrid w:val="0"/>
        <w:spacing w:beforeLines="0" w:afterLines="0" w:line="56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编制</w:t>
      </w:r>
      <w:r>
        <w:rPr>
          <w:rFonts w:hint="eastAsia" w:ascii="黑体" w:hAnsi="黑体" w:eastAsia="黑体" w:cs="黑体"/>
          <w:b w:val="0"/>
          <w:bCs w:val="0"/>
          <w:sz w:val="32"/>
          <w:szCs w:val="32"/>
          <w:lang w:eastAsia="zh-CN"/>
        </w:rPr>
        <w:t>的必要性</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软件与信息服务产业是关系到国民经济和社会发展全局的基础性、战略性、先导性产业，也是信息技术之魂、网络安全之盾、经济转型之擎、数字社会之基。软件在数字化进程中发挥着重要的基础支撑作用，加速向网络化、平台化、智能化方向发展，驱动云计算、大数据、人工智能、5G、区块链、工业互联网、量子计算等新一代信息技术迭代创新、群体突破，加快数字产业化步伐。软件对融合发展的有效赋能、赋值、赋智，全面推动经济社会数字化、网络化、智能化转型升级，持续激发数据要素创新活力，加快产业数字化进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kern w:val="0"/>
          <w:sz w:val="32"/>
          <w:szCs w:val="32"/>
          <w:lang w:val="en-US" w:eastAsia="zh-CN"/>
        </w:rPr>
        <w:t>龙华区软件产业相较全市规模较小、缺少龙头软件企业。</w:t>
      </w:r>
      <w:r>
        <w:rPr>
          <w:rFonts w:hint="eastAsia" w:ascii="仿宋_GB2312" w:hAnsi="仿宋_GB2312" w:eastAsia="仿宋_GB2312" w:cs="仿宋_GB2312"/>
          <w:color w:val="auto"/>
          <w:sz w:val="32"/>
          <w:szCs w:val="32"/>
          <w:highlight w:val="none"/>
          <w:lang w:val="en-US" w:eastAsia="zh-CN"/>
        </w:rPr>
        <w:t>目前龙华区软件产业呈现头重脚轻结构，中小企业发展艰难，未能形成由生态主导型企业架构的大中小企业融通发展、优势互补、互利共赢的良好局面。基础国产技术路线的生态体系尚处于起步阶段，缺乏基础国产化数字底座的重点行业示范应用标杆。核心技术研发能力尚有提升空间。操作系统、数据库、中间件、开发工具软件、云计算、大数据、人工智能等领域核心底层技术创新能力不足，严重依赖进口，原始创新和协同创新能力亟需加强。公共服务平台载体能力不足。行业共性技术服务平台、算法库、组件库、工具开发平台等缺乏，企业间重复开发成本高。</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2"/>
        <w:rPr>
          <w:rFonts w:hint="eastAsia"/>
          <w:lang w:val="en-US" w:eastAsia="zh-CN"/>
        </w:rPr>
      </w:pPr>
      <w:r>
        <w:rPr>
          <w:rFonts w:hint="eastAsia" w:ascii="仿宋_GB2312" w:hAnsi="Calibri" w:eastAsia="仿宋_GB2312" w:cs="仿宋_GB2312"/>
          <w:sz w:val="32"/>
          <w:szCs w:val="32"/>
          <w:lang w:eastAsia="zh-CN"/>
        </w:rPr>
        <w:t>为</w:t>
      </w:r>
      <w:r>
        <w:rPr>
          <w:rFonts w:hint="eastAsia" w:ascii="仿宋_GB2312" w:hAnsi="Calibri" w:eastAsia="仿宋_GB2312" w:cs="仿宋_GB2312"/>
          <w:sz w:val="32"/>
          <w:szCs w:val="32"/>
        </w:rPr>
        <w:t>全面提升软件产业链发展水平与集群发展能力，引领创建国家级软件名园，</w:t>
      </w:r>
      <w:r>
        <w:rPr>
          <w:rFonts w:hint="eastAsia" w:ascii="仿宋_GB2312" w:hAnsi="Arial" w:eastAsia="仿宋_GB2312" w:cs="Arial"/>
          <w:sz w:val="32"/>
          <w:szCs w:val="32"/>
        </w:rPr>
        <w:t>打造基础软件、工业软件、互联网平台等多领域汇聚的</w:t>
      </w:r>
      <w:r>
        <w:rPr>
          <w:rFonts w:hint="eastAsia" w:ascii="仿宋_GB2312" w:hAnsi="Arial" w:eastAsia="仿宋_GB2312" w:cs="Arial"/>
          <w:sz w:val="32"/>
          <w:szCs w:val="32"/>
          <w:lang w:eastAsia="zh-CN"/>
        </w:rPr>
        <w:t>软件产业基地</w:t>
      </w:r>
      <w:r>
        <w:rPr>
          <w:rFonts w:hint="eastAsia" w:ascii="仿宋_GB2312" w:hAnsi="Arial" w:eastAsia="仿宋_GB2312" w:cs="Arial"/>
          <w:sz w:val="32"/>
          <w:szCs w:val="32"/>
        </w:rPr>
        <w:t>，</w:t>
      </w:r>
      <w:r>
        <w:rPr>
          <w:rFonts w:hint="eastAsia" w:ascii="仿宋_GB2312" w:hAnsi="仿宋_GB2312" w:eastAsia="仿宋_GB2312" w:cs="仿宋_GB2312"/>
          <w:sz w:val="32"/>
          <w:szCs w:val="32"/>
          <w:lang w:eastAsia="zh-CN"/>
        </w:rPr>
        <w:t>我局牵头编制了</w:t>
      </w:r>
      <w:r>
        <w:rPr>
          <w:rFonts w:hint="eastAsia" w:ascii="仿宋_GB2312" w:hAnsi="仿宋_GB2312" w:eastAsia="仿宋_GB2312" w:cs="仿宋_GB2312"/>
          <w:color w:val="auto"/>
          <w:sz w:val="32"/>
          <w:lang w:eastAsia="zh-CN"/>
        </w:rPr>
        <w:t>《实施方案（征求意见稿）》，为打造成为</w:t>
      </w:r>
      <w:r>
        <w:rPr>
          <w:rFonts w:hint="eastAsia" w:ascii="仿宋_GB2312" w:hAnsi="仿宋_GB2312" w:eastAsia="仿宋_GB2312" w:cs="仿宋_GB2312"/>
          <w:sz w:val="32"/>
          <w:szCs w:val="32"/>
          <w:highlight w:val="none"/>
          <w:shd w:val="clear" w:color="auto" w:fill="auto"/>
        </w:rPr>
        <w:t>全市软件产业主力承载区和软件人才宜居宜业宜创集聚区</w:t>
      </w:r>
      <w:r>
        <w:rPr>
          <w:rFonts w:hint="eastAsia" w:ascii="仿宋_GB2312" w:hAnsi="Calibri" w:eastAsia="仿宋_GB2312" w:cs="仿宋_GB2312"/>
          <w:sz w:val="32"/>
          <w:szCs w:val="32"/>
        </w:rPr>
        <w:t>提供核心支撑力量。</w:t>
      </w:r>
    </w:p>
    <w:p>
      <w:pPr>
        <w:keepNext w:val="0"/>
        <w:keepLines w:val="0"/>
        <w:pageBreakBefore w:val="0"/>
        <w:numPr>
          <w:ilvl w:val="0"/>
          <w:numId w:val="1"/>
        </w:numPr>
        <w:kinsoku/>
        <w:wordWrap/>
        <w:overflowPunct/>
        <w:topLinePunct w:val="0"/>
        <w:autoSpaceDE/>
        <w:autoSpaceDN/>
        <w:bidi w:val="0"/>
        <w:adjustRightInd w:val="0"/>
        <w:snapToGrid w:val="0"/>
        <w:spacing w:beforeLines="0" w:afterLines="0" w:line="56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编制依据</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依据《新时期促进集成电路产业和软件产业高质量发展若干政策》、</w:t>
      </w:r>
      <w:r>
        <w:rPr>
          <w:rFonts w:hint="eastAsia" w:ascii="仿宋_GB2312" w:hAnsi="仿宋_GB2312" w:eastAsia="仿宋_GB2312" w:cs="仿宋_GB2312"/>
          <w:color w:val="auto"/>
          <w:sz w:val="32"/>
          <w:szCs w:val="32"/>
          <w:highlight w:val="none"/>
          <w:lang w:val="en-US" w:eastAsia="zh-CN"/>
        </w:rPr>
        <w:t>《广东省发展软件与信息服务战略性支柱产业集群行动计划（2021—2025年）》、《深圳市数字经济产业创新发展实施方案（2021—2023年）》、《深圳市培育发展软件与信息服务产业集群行动计划（2021—2025年）》、深圳市龙华区数字经济三年工作实施方案（2021—2023年）</w:t>
      </w:r>
      <w:r>
        <w:rPr>
          <w:rFonts w:hint="eastAsia" w:ascii="仿宋_GB2312" w:hAnsi="仿宋_GB2312" w:eastAsia="仿宋_GB2312" w:cs="仿宋_GB2312"/>
          <w:color w:val="000000"/>
          <w:kern w:val="0"/>
          <w:sz w:val="32"/>
          <w:szCs w:val="32"/>
          <w:lang w:val="en-US" w:eastAsia="zh-CN"/>
        </w:rPr>
        <w:t>等文件及工作实际，编制本方案。</w:t>
      </w:r>
    </w:p>
    <w:p>
      <w:pPr>
        <w:keepNext w:val="0"/>
        <w:keepLines w:val="0"/>
        <w:pageBreakBefore w:val="0"/>
        <w:numPr>
          <w:ilvl w:val="0"/>
          <w:numId w:val="1"/>
        </w:numPr>
        <w:kinsoku/>
        <w:wordWrap/>
        <w:overflowPunct/>
        <w:topLinePunct w:val="0"/>
        <w:autoSpaceDE/>
        <w:autoSpaceDN/>
        <w:bidi w:val="0"/>
        <w:adjustRightInd w:val="0"/>
        <w:snapToGrid w:val="0"/>
        <w:spacing w:beforeLines="0" w:afterLines="0" w:line="56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主要</w:t>
      </w:r>
      <w:r>
        <w:rPr>
          <w:rFonts w:hint="eastAsia" w:ascii="黑体" w:hAnsi="黑体" w:eastAsia="黑体" w:cs="黑体"/>
          <w:b w:val="0"/>
          <w:bCs w:val="0"/>
          <w:sz w:val="32"/>
          <w:szCs w:val="32"/>
        </w:rPr>
        <w:t>内容</w:t>
      </w:r>
    </w:p>
    <w:p>
      <w:pPr>
        <w:pStyle w:val="30"/>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TW" w:eastAsia="zh-CN" w:bidi="ar-SA"/>
        </w:rPr>
        <w:t>《实施方案（征求意见稿）》</w:t>
      </w:r>
      <w:r>
        <w:rPr>
          <w:rFonts w:hint="eastAsia" w:ascii="仿宋_GB2312" w:hAnsi="仿宋_GB2312" w:eastAsia="仿宋_GB2312" w:cs="仿宋_GB2312"/>
          <w:kern w:val="2"/>
          <w:sz w:val="32"/>
          <w:szCs w:val="32"/>
          <w:lang w:val="en-US" w:eastAsia="zh-CN" w:bidi="ar-SA"/>
        </w:rPr>
        <w:t>主要</w:t>
      </w:r>
      <w:r>
        <w:rPr>
          <w:rFonts w:hint="eastAsia" w:cs="仿宋_GB2312"/>
          <w:kern w:val="2"/>
          <w:sz w:val="32"/>
          <w:szCs w:val="32"/>
          <w:lang w:val="en-US" w:eastAsia="zh-CN" w:bidi="ar-SA"/>
        </w:rPr>
        <w:t>包含指导思想、总体目标、空间格局、主要任务、保障措施五大板块。方案以北站汇德、汇隆、数创中心ABC座、北站壹号、红山6979为启动区，以华南物流园、华南数字谷为拓展区，目标建设成为</w:t>
      </w:r>
      <w:r>
        <w:rPr>
          <w:rFonts w:hint="eastAsia" w:ascii="仿宋_GB2312" w:hAnsi="仿宋_GB2312" w:cs="仿宋_GB2312"/>
          <w:szCs w:val="32"/>
          <w:highlight w:val="none"/>
          <w:shd w:val="clear" w:color="auto" w:fill="auto"/>
        </w:rPr>
        <w:t>全市软件与信息服务产业集群的核心承载区和软件人才集聚新高</w:t>
      </w:r>
      <w:r>
        <w:rPr>
          <w:rFonts w:hint="eastAsia" w:cs="仿宋_GB2312"/>
          <w:szCs w:val="32"/>
          <w:highlight w:val="none"/>
          <w:shd w:val="clear" w:color="auto" w:fill="auto"/>
          <w:lang w:eastAsia="zh-CN"/>
        </w:rPr>
        <w:t>地</w:t>
      </w:r>
      <w:r>
        <w:rPr>
          <w:rFonts w:hint="eastAsia" w:cs="仿宋_GB2312"/>
          <w:kern w:val="2"/>
          <w:sz w:val="32"/>
          <w:szCs w:val="32"/>
          <w:lang w:val="en-US" w:eastAsia="zh-CN" w:bidi="ar-SA"/>
        </w:rPr>
        <w:t>。主要内容如下：</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zh-TW" w:eastAsia="zh-CN" w:bidi="ar-SA"/>
        </w:rPr>
        <w:t>（一）统筹兼顾引领产业高质量发展</w:t>
      </w:r>
    </w:p>
    <w:p>
      <w:pPr>
        <w:pStyle w:val="30"/>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zh-TW" w:eastAsia="zh-CN" w:bidi="ar-SA"/>
        </w:rPr>
      </w:pPr>
      <w:r>
        <w:rPr>
          <w:rFonts w:hint="eastAsia" w:ascii="仿宋_GB2312" w:hAnsi="仿宋_GB2312" w:eastAsia="仿宋_GB2312" w:cs="仿宋_GB2312"/>
          <w:kern w:val="2"/>
          <w:sz w:val="32"/>
          <w:szCs w:val="32"/>
          <w:lang w:val="en-US" w:eastAsia="zh-CN" w:bidi="ar-SA"/>
        </w:rPr>
        <w:t>深度对接现有软件企业，梯度培育壮大存量企业，精准摸排区外优质企业，大力开展招商引资，强化深港产业融合，力争引进一批国内外优质软件企业、上市企业，支持企业在我区打造软件总部基地，形成大中小微企业协同发展格局。</w:t>
      </w:r>
      <w:r>
        <w:rPr>
          <w:rFonts w:hint="eastAsia" w:ascii="仿宋_GB2312" w:hAnsi="仿宋_GB2312" w:eastAsia="仿宋_GB2312" w:cs="仿宋_GB2312"/>
          <w:kern w:val="2"/>
          <w:sz w:val="32"/>
          <w:szCs w:val="32"/>
          <w:lang w:val="zh-TW" w:eastAsia="zh-CN" w:bidi="ar-SA"/>
        </w:rPr>
        <w:t>重点培育龙头企业，引导有条件的企业联合行业上下游和各类研究力量，组建体系化、任务型的创新联合体，建设国家、省、市级各类软件相关创新载体，推动企业重大科技成果产业化。</w:t>
      </w:r>
      <w:bookmarkStart w:id="0" w:name="_Toc2866"/>
      <w:r>
        <w:rPr>
          <w:rFonts w:hint="eastAsia" w:ascii="仿宋_GB2312" w:hAnsi="仿宋_GB2312" w:eastAsia="仿宋_GB2312" w:cs="仿宋_GB2312"/>
          <w:kern w:val="2"/>
          <w:sz w:val="32"/>
          <w:szCs w:val="32"/>
          <w:lang w:val="zh-TW" w:eastAsia="zh-CN" w:bidi="ar-SA"/>
        </w:rPr>
        <w:t>精心培育存量企业。对区内企业建立梯度培育机制，扶持一批有潜力、有自主知识产权的企业发展进一步增强核心竞争力，成为软件细分领域的核心骨干企业。</w:t>
      </w:r>
      <w:bookmarkEnd w:id="0"/>
      <w:r>
        <w:rPr>
          <w:rFonts w:hint="eastAsia" w:ascii="仿宋_GB2312" w:hAnsi="仿宋_GB2312" w:eastAsia="仿宋_GB2312" w:cs="仿宋_GB2312"/>
          <w:kern w:val="2"/>
          <w:sz w:val="32"/>
          <w:szCs w:val="32"/>
          <w:lang w:val="zh-TW" w:eastAsia="zh-CN" w:bidi="ar-SA"/>
        </w:rPr>
        <w:t>精准招引优质企业，结合基地空间布局，重点招引基础软件、工业软件企业和鸿蒙发行版企业，引入一批营收超10亿的重点企业、上市企业、发展前景良好的新兴技术软件企业，繁荣软件产业链生态。创投孵化小微企业，鼓励企业、高校等多元主体建设孵化器、众创空间。鼓励具有丰富管理运营经验、行业影响力大的优质孵化器、众创空间运营单位，对产业基地内的孵化载体进行管理服务和品牌输出。</w:t>
      </w:r>
      <w:bookmarkStart w:id="1" w:name="_Toc17455"/>
      <w:bookmarkStart w:id="2" w:name="_Toc23398"/>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val="0"/>
          <w:color w:val="auto"/>
          <w:kern w:val="2"/>
          <w:sz w:val="32"/>
          <w:szCs w:val="24"/>
          <w:lang w:val="zh-TW" w:eastAsia="zh-CN" w:bidi="ar-SA"/>
        </w:rPr>
      </w:pPr>
      <w:r>
        <w:rPr>
          <w:rFonts w:hint="eastAsia" w:ascii="楷体_GB2312" w:hAnsi="楷体_GB2312" w:eastAsia="楷体_GB2312" w:cs="楷体_GB2312"/>
          <w:b w:val="0"/>
          <w:bCs w:val="0"/>
          <w:color w:val="auto"/>
          <w:kern w:val="2"/>
          <w:sz w:val="32"/>
          <w:szCs w:val="24"/>
          <w:lang w:val="zh-TW" w:eastAsia="zh-CN" w:bidi="ar-SA"/>
        </w:rPr>
        <w:t>（二）引培并举构建多层次人才梯队</w:t>
      </w:r>
      <w:bookmarkEnd w:id="1"/>
      <w:bookmarkEnd w:id="2"/>
    </w:p>
    <w:p>
      <w:pPr>
        <w:spacing w:line="560" w:lineRule="exact"/>
        <w:ind w:firstLine="640"/>
        <w:rPr>
          <w:rFonts w:hint="eastAsia" w:ascii="仿宋_GB2312" w:hAnsi="仿宋_GB2312" w:eastAsia="仿宋_GB2312" w:cs="仿宋_GB2312"/>
          <w:kern w:val="0"/>
          <w:sz w:val="32"/>
          <w:szCs w:val="32"/>
          <w:lang w:val="en-US" w:eastAsia="zh-CN" w:bidi="ar-SA"/>
        </w:rPr>
      </w:pPr>
      <w:bookmarkStart w:id="3" w:name="_Toc17458"/>
      <w:r>
        <w:rPr>
          <w:rFonts w:hint="eastAsia" w:ascii="仿宋_GB2312" w:hAnsi="仿宋_GB2312" w:eastAsia="仿宋_GB2312" w:cs="仿宋_GB2312"/>
          <w:kern w:val="0"/>
          <w:sz w:val="32"/>
          <w:szCs w:val="32"/>
          <w:lang w:val="en-US" w:eastAsia="zh-CN" w:bidi="ar-SA"/>
        </w:rPr>
        <w:t>围绕软件产业领军人才、创新人才、专业人才等，加强引进海内外高层次人才和团队，加快特色化软件人才培养体系建设，创新人才培养模式，形成科学合理的软件人才梯队。</w:t>
      </w:r>
      <w:bookmarkEnd w:id="3"/>
      <w:r>
        <w:rPr>
          <w:rFonts w:hint="eastAsia" w:ascii="仿宋_GB2312" w:hAnsi="仿宋_GB2312" w:eastAsia="仿宋_GB2312" w:cs="仿宋_GB2312"/>
          <w:kern w:val="0"/>
          <w:sz w:val="32"/>
          <w:szCs w:val="32"/>
          <w:lang w:val="en-US" w:eastAsia="zh-CN" w:bidi="ar-SA"/>
        </w:rPr>
        <w:t>深入实施高层次人才引进培育，持续引进创新创业领军人才和团队，进一步强化领军人才集聚优势。积极探索人才培养“多元模式”，支持校企联合打造实训基地，面向在校学生和企业在职人员提供前沿科技知识的理论进修和实操训练。建设1024社区，为软件人才打造宜居宜业宜创的高品质生活空间。</w:t>
      </w:r>
    </w:p>
    <w:p>
      <w:pPr>
        <w:widowControl/>
        <w:spacing w:line="560" w:lineRule="exact"/>
        <w:ind w:firstLine="640"/>
        <w:jc w:val="left"/>
        <w:rPr>
          <w:rFonts w:cs="Times New Roman"/>
          <w:highlight w:val="none"/>
          <w:shd w:val="clear" w:color="auto" w:fill="auto"/>
        </w:rPr>
      </w:pPr>
      <w:bookmarkStart w:id="4" w:name="_Toc21620"/>
      <w:bookmarkStart w:id="5" w:name="_Toc5028"/>
      <w:r>
        <w:rPr>
          <w:rFonts w:hint="eastAsia" w:ascii="楷体_GB2312" w:hAnsi="楷体_GB2312" w:eastAsia="楷体_GB2312" w:cs="楷体_GB2312"/>
          <w:b w:val="0"/>
          <w:bCs w:val="0"/>
          <w:color w:val="auto"/>
          <w:kern w:val="2"/>
          <w:sz w:val="32"/>
          <w:szCs w:val="24"/>
          <w:lang w:val="zh-TW" w:eastAsia="zh-CN" w:bidi="ar-SA"/>
        </w:rPr>
        <w:t>（三）开放场景营造多元共享生态体系</w:t>
      </w:r>
      <w:bookmarkEnd w:id="4"/>
      <w:bookmarkEnd w:id="5"/>
    </w:p>
    <w:p>
      <w:pPr>
        <w:spacing w:line="560" w:lineRule="exact"/>
        <w:ind w:firstLine="640"/>
        <w:rPr>
          <w:rFonts w:hint="eastAsia" w:ascii="仿宋_GB2312" w:hAnsi="仿宋_GB2312" w:eastAsia="仿宋_GB2312" w:cs="仿宋_GB2312"/>
          <w:kern w:val="0"/>
          <w:sz w:val="32"/>
          <w:szCs w:val="32"/>
          <w:lang w:val="en-US" w:eastAsia="zh-CN" w:bidi="ar-SA"/>
        </w:rPr>
      </w:pPr>
      <w:bookmarkStart w:id="6" w:name="_Toc22317"/>
      <w:r>
        <w:rPr>
          <w:rFonts w:hint="eastAsia" w:ascii="仿宋_GB2312" w:hAnsi="仿宋_GB2312" w:eastAsia="仿宋_GB2312" w:cs="仿宋_GB2312"/>
          <w:kern w:val="0"/>
          <w:sz w:val="32"/>
          <w:szCs w:val="32"/>
          <w:lang w:val="en-US" w:eastAsia="zh-CN" w:bidi="ar-SA"/>
        </w:rPr>
        <w:t>深化拓展应用场景，支持重点企业开放核心应用场景建设公共展厅，打造“AI+应用场景”展示空间，在低空经济、数字能源、智能制造等行业先行先试。积极推动“鸿蒙”</w:t>
      </w:r>
      <w:bookmarkStart w:id="10" w:name="_GoBack"/>
      <w:bookmarkEnd w:id="10"/>
      <w:r>
        <w:rPr>
          <w:rFonts w:hint="eastAsia" w:ascii="仿宋_GB2312" w:hAnsi="仿宋_GB2312" w:eastAsia="仿宋_GB2312" w:cs="仿宋_GB2312"/>
          <w:kern w:val="0"/>
          <w:sz w:val="32"/>
          <w:szCs w:val="32"/>
          <w:lang w:val="en-US" w:eastAsia="zh-CN" w:bidi="ar-SA"/>
        </w:rPr>
        <w:t>“欧拉”+“昇腾”等生态创新应用，打造一批自主创新应用示范标杆。强化社会公共服务，支持建设标准制定、检验检测、资质认证、数据交流、共性技术研发等各类公共服务平台，搭建知识产权服务体系，为基地企业提供便捷软件企业评估、软件著作权登记、商标注册等服务。</w:t>
      </w:r>
      <w:r>
        <w:rPr>
          <w:rFonts w:hint="eastAsia" w:ascii="仿宋_GB2312" w:hAnsi="仿宋_GB2312" w:eastAsia="仿宋_GB2312" w:cs="仿宋_GB2312"/>
          <w:kern w:val="0"/>
          <w:sz w:val="32"/>
          <w:szCs w:val="32"/>
          <w:lang w:val="en" w:eastAsia="zh-CN" w:bidi="ar-SA"/>
        </w:rPr>
        <w:t>提升金融有效支持，设立</w:t>
      </w:r>
      <w:r>
        <w:rPr>
          <w:rFonts w:hint="eastAsia" w:ascii="仿宋_GB2312" w:hAnsi="仿宋_GB2312" w:eastAsia="仿宋_GB2312" w:cs="仿宋_GB2312"/>
          <w:kern w:val="0"/>
          <w:sz w:val="32"/>
          <w:szCs w:val="32"/>
          <w:lang w:val="en-US" w:eastAsia="zh-CN" w:bidi="ar-SA"/>
        </w:rPr>
        <w:t>软件产业政府引导基金，为软件企业提供多层次金融服务，引导金融资本加大对初创期、成长期软件企业的投资力度。构建创新产业链生态体系，支持华为、深开鸿等企业等建设软件开源社区，打造鸿蒙原生特色应用产业园，开发鸿蒙原生应用软件、三方引擎和闭源库，开展技术适配验证。</w:t>
      </w:r>
    </w:p>
    <w:bookmarkEnd w:id="6"/>
    <w:p>
      <w:pPr>
        <w:widowControl/>
        <w:spacing w:line="560" w:lineRule="exact"/>
        <w:ind w:firstLine="640"/>
        <w:jc w:val="left"/>
        <w:rPr>
          <w:rFonts w:hint="eastAsia" w:ascii="楷体_GB2312" w:hAnsi="楷体_GB2312" w:eastAsia="楷体_GB2312" w:cs="楷体_GB2312"/>
          <w:b w:val="0"/>
          <w:bCs w:val="0"/>
          <w:color w:val="auto"/>
          <w:kern w:val="2"/>
          <w:sz w:val="32"/>
          <w:szCs w:val="24"/>
          <w:lang w:val="zh-TW" w:eastAsia="zh-CN" w:bidi="ar-SA"/>
        </w:rPr>
      </w:pPr>
      <w:bookmarkStart w:id="7" w:name="_Toc5003"/>
      <w:bookmarkStart w:id="8" w:name="_Toc24876"/>
      <w:r>
        <w:rPr>
          <w:rFonts w:hint="eastAsia" w:ascii="楷体_GB2312" w:hAnsi="楷体_GB2312" w:eastAsia="楷体_GB2312" w:cs="楷体_GB2312"/>
          <w:b w:val="0"/>
          <w:bCs w:val="0"/>
          <w:color w:val="auto"/>
          <w:kern w:val="2"/>
          <w:sz w:val="32"/>
          <w:szCs w:val="24"/>
          <w:lang w:val="zh-TW" w:eastAsia="zh-CN" w:bidi="ar-SA"/>
        </w:rPr>
        <w:t>（四）</w:t>
      </w:r>
      <w:bookmarkEnd w:id="7"/>
      <w:bookmarkEnd w:id="8"/>
      <w:r>
        <w:rPr>
          <w:rFonts w:hint="eastAsia" w:ascii="楷体_GB2312" w:hAnsi="楷体_GB2312" w:eastAsia="楷体_GB2312" w:cs="楷体_GB2312"/>
          <w:b w:val="0"/>
          <w:bCs w:val="0"/>
          <w:color w:val="auto"/>
          <w:kern w:val="2"/>
          <w:sz w:val="32"/>
          <w:szCs w:val="24"/>
          <w:lang w:val="zh-TW" w:eastAsia="zh-CN" w:bidi="ar-SA"/>
        </w:rPr>
        <w:t xml:space="preserve">软硬结合打造高水平专业园区 </w:t>
      </w:r>
    </w:p>
    <w:p>
      <w:pPr>
        <w:spacing w:line="560" w:lineRule="exact"/>
        <w:ind w:firstLine="640"/>
        <w:rPr>
          <w:rFonts w:hint="eastAsia" w:ascii="仿宋_GB2312" w:hAnsi="仿宋_GB2312" w:eastAsia="仿宋_GB2312" w:cs="仿宋_GB2312"/>
          <w:kern w:val="0"/>
          <w:sz w:val="32"/>
          <w:szCs w:val="32"/>
          <w:lang w:val="en-US" w:eastAsia="zh-CN" w:bidi="ar-SA"/>
        </w:rPr>
      </w:pPr>
      <w:bookmarkStart w:id="9" w:name="_Toc7045"/>
      <w:r>
        <w:rPr>
          <w:rFonts w:hint="eastAsia" w:ascii="仿宋_GB2312" w:hAnsi="仿宋_GB2312" w:eastAsia="仿宋_GB2312" w:cs="仿宋_GB2312"/>
          <w:kern w:val="0"/>
          <w:sz w:val="32"/>
          <w:szCs w:val="32"/>
          <w:lang w:val="en-US" w:eastAsia="zh-CN" w:bidi="ar-SA"/>
        </w:rPr>
        <w:t>重点提升园区专业化服务能力，完善产业基地基础设施、强化运营管理模式，全方位提升运营管理软实力，通过平台建设、品牌运营、产业活动、资质提升等措施，实现从物业管理到产业运营管理的全方位提升。打造高品质、专业化园区服务，构建满足产业生产、研发、管理等产业功能以及餐饮、休闲、娱乐等生活功能的复合型生态空间。</w:t>
      </w:r>
      <w:bookmarkEnd w:id="9"/>
      <w:r>
        <w:rPr>
          <w:rFonts w:hint="eastAsia" w:ascii="仿宋_GB2312" w:hAnsi="仿宋_GB2312" w:eastAsia="仿宋_GB2312" w:cs="仿宋_GB2312"/>
          <w:kern w:val="0"/>
          <w:sz w:val="32"/>
          <w:szCs w:val="32"/>
          <w:lang w:val="en-US" w:eastAsia="zh-CN" w:bidi="ar-SA"/>
        </w:rPr>
        <w:t>高标准打造硬件基础设施。深入对接软件企业需求，适当超前布局数字基础设施。推动楼宇智慧化升级改造，鼓励楼宇运营管理单位积极运用数字孪生、BIM、大数据、人工智能等信息化技术手段，实现园区基础设施信息化、运营管理高效化、功能服务便利化,为建筑楼宇打造满足日常管理工作的集成融合智慧场景应用。重点谋划建设智能计算中心，建设人工智能算力运营和调度中心，链接区内已有算力资源和边缘计算数据中心，打造“统筹调度”算力供给体系，逐步实现区内外算力资源统一调度和监控。</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eastAsia="zh-CN"/>
        </w:rPr>
        <w:t>专此说明。</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00"/>
    <w:family w:val="swiss"/>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2h04KwgEAAGkDAAAOAAAAAAAAAAEAIAAA&#10;ADQBAABkcnMvZTJvRG9jLnhtbFBLBQYAAAAABgAGAFkBAABo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3CCA1"/>
    <w:multiLevelType w:val="singleLevel"/>
    <w:tmpl w:val="5DA3CCA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2E06"/>
    <w:rsid w:val="01470A80"/>
    <w:rsid w:val="01B34B6D"/>
    <w:rsid w:val="0382163C"/>
    <w:rsid w:val="03B156E9"/>
    <w:rsid w:val="04B16220"/>
    <w:rsid w:val="04F70D5B"/>
    <w:rsid w:val="05F96799"/>
    <w:rsid w:val="07B87CAB"/>
    <w:rsid w:val="09340B21"/>
    <w:rsid w:val="0A78709E"/>
    <w:rsid w:val="0A857ABE"/>
    <w:rsid w:val="0AE1345E"/>
    <w:rsid w:val="0B2F227B"/>
    <w:rsid w:val="0BA35602"/>
    <w:rsid w:val="0BBE45E9"/>
    <w:rsid w:val="0BEA43D4"/>
    <w:rsid w:val="0C342FF6"/>
    <w:rsid w:val="0F883E12"/>
    <w:rsid w:val="0FE95CEB"/>
    <w:rsid w:val="102C7DB6"/>
    <w:rsid w:val="10FA5A64"/>
    <w:rsid w:val="12601130"/>
    <w:rsid w:val="12971096"/>
    <w:rsid w:val="135E27B3"/>
    <w:rsid w:val="142B60A2"/>
    <w:rsid w:val="14A17E49"/>
    <w:rsid w:val="15011D57"/>
    <w:rsid w:val="154F49F5"/>
    <w:rsid w:val="156C6047"/>
    <w:rsid w:val="16AA52E1"/>
    <w:rsid w:val="173C1F31"/>
    <w:rsid w:val="185B1C96"/>
    <w:rsid w:val="1AB102BD"/>
    <w:rsid w:val="1AC944BE"/>
    <w:rsid w:val="1AC979F4"/>
    <w:rsid w:val="1B833339"/>
    <w:rsid w:val="1C7D21F3"/>
    <w:rsid w:val="1C9C58DF"/>
    <w:rsid w:val="1CF73124"/>
    <w:rsid w:val="1D440077"/>
    <w:rsid w:val="1D4415C7"/>
    <w:rsid w:val="1D6F344B"/>
    <w:rsid w:val="1DBF76E8"/>
    <w:rsid w:val="1F866EC8"/>
    <w:rsid w:val="1F9E12CF"/>
    <w:rsid w:val="20DA02A7"/>
    <w:rsid w:val="219C3ECF"/>
    <w:rsid w:val="221D0F4A"/>
    <w:rsid w:val="23693892"/>
    <w:rsid w:val="238F3221"/>
    <w:rsid w:val="23B346CF"/>
    <w:rsid w:val="24025F33"/>
    <w:rsid w:val="24332A5A"/>
    <w:rsid w:val="245D51CF"/>
    <w:rsid w:val="24E01ED5"/>
    <w:rsid w:val="250244A9"/>
    <w:rsid w:val="27385D56"/>
    <w:rsid w:val="2749371E"/>
    <w:rsid w:val="27761ADE"/>
    <w:rsid w:val="27D753EB"/>
    <w:rsid w:val="27E6261D"/>
    <w:rsid w:val="294912B2"/>
    <w:rsid w:val="29F77572"/>
    <w:rsid w:val="2A001010"/>
    <w:rsid w:val="2A610BCC"/>
    <w:rsid w:val="2AD744E7"/>
    <w:rsid w:val="2CDC6FEB"/>
    <w:rsid w:val="2D55166E"/>
    <w:rsid w:val="2E105E12"/>
    <w:rsid w:val="2EC339B9"/>
    <w:rsid w:val="2EE36318"/>
    <w:rsid w:val="2EE720F2"/>
    <w:rsid w:val="2F29614C"/>
    <w:rsid w:val="2F68552C"/>
    <w:rsid w:val="2F6D3231"/>
    <w:rsid w:val="2F7D65F3"/>
    <w:rsid w:val="2FCA1302"/>
    <w:rsid w:val="322A15E9"/>
    <w:rsid w:val="329438FC"/>
    <w:rsid w:val="32A35536"/>
    <w:rsid w:val="32EB0F5B"/>
    <w:rsid w:val="33A0592D"/>
    <w:rsid w:val="3558327A"/>
    <w:rsid w:val="35D15CEC"/>
    <w:rsid w:val="36552903"/>
    <w:rsid w:val="37243708"/>
    <w:rsid w:val="37BD5714"/>
    <w:rsid w:val="38754E2F"/>
    <w:rsid w:val="390C35DF"/>
    <w:rsid w:val="393070F4"/>
    <w:rsid w:val="3A143E4E"/>
    <w:rsid w:val="3A2018C2"/>
    <w:rsid w:val="3A832586"/>
    <w:rsid w:val="3C2F7BA7"/>
    <w:rsid w:val="3D6A139F"/>
    <w:rsid w:val="3E9FA3B2"/>
    <w:rsid w:val="3EBF5AE9"/>
    <w:rsid w:val="3F3270C9"/>
    <w:rsid w:val="3F7D6D32"/>
    <w:rsid w:val="3F832F94"/>
    <w:rsid w:val="3FCA1E1A"/>
    <w:rsid w:val="3FE35E34"/>
    <w:rsid w:val="3FE37B61"/>
    <w:rsid w:val="426B1355"/>
    <w:rsid w:val="43C70A3F"/>
    <w:rsid w:val="43DA4580"/>
    <w:rsid w:val="43DF0961"/>
    <w:rsid w:val="443D7D46"/>
    <w:rsid w:val="4467634B"/>
    <w:rsid w:val="44980A08"/>
    <w:rsid w:val="44AD7857"/>
    <w:rsid w:val="45782B49"/>
    <w:rsid w:val="4632598A"/>
    <w:rsid w:val="465E35AE"/>
    <w:rsid w:val="46CD108F"/>
    <w:rsid w:val="470963A0"/>
    <w:rsid w:val="47132C5C"/>
    <w:rsid w:val="471970A8"/>
    <w:rsid w:val="477A3F98"/>
    <w:rsid w:val="47BF5B07"/>
    <w:rsid w:val="47ED2EA7"/>
    <w:rsid w:val="49C664BD"/>
    <w:rsid w:val="4A09491F"/>
    <w:rsid w:val="4C5247F8"/>
    <w:rsid w:val="4CE6709A"/>
    <w:rsid w:val="4CF92EB2"/>
    <w:rsid w:val="4D692048"/>
    <w:rsid w:val="4D735D23"/>
    <w:rsid w:val="4DB82DEF"/>
    <w:rsid w:val="4DC7372B"/>
    <w:rsid w:val="4E6E5BA7"/>
    <w:rsid w:val="4EC74321"/>
    <w:rsid w:val="4F6319E4"/>
    <w:rsid w:val="50040E99"/>
    <w:rsid w:val="50BA0607"/>
    <w:rsid w:val="51AF1FE6"/>
    <w:rsid w:val="51CB6D3C"/>
    <w:rsid w:val="535C7D9B"/>
    <w:rsid w:val="53A440AC"/>
    <w:rsid w:val="53FE044D"/>
    <w:rsid w:val="547866D4"/>
    <w:rsid w:val="556144E9"/>
    <w:rsid w:val="561065A8"/>
    <w:rsid w:val="56D001B1"/>
    <w:rsid w:val="57244BA5"/>
    <w:rsid w:val="57AD7015"/>
    <w:rsid w:val="58B313D0"/>
    <w:rsid w:val="59026BC3"/>
    <w:rsid w:val="59EA6988"/>
    <w:rsid w:val="5A7BB049"/>
    <w:rsid w:val="5AAE0FB5"/>
    <w:rsid w:val="5C306A05"/>
    <w:rsid w:val="5C6455EE"/>
    <w:rsid w:val="5C8B5A89"/>
    <w:rsid w:val="5CC7770D"/>
    <w:rsid w:val="5CF850CB"/>
    <w:rsid w:val="5D823F90"/>
    <w:rsid w:val="5E870FF2"/>
    <w:rsid w:val="604068E4"/>
    <w:rsid w:val="60DF567F"/>
    <w:rsid w:val="60E007A0"/>
    <w:rsid w:val="616C0561"/>
    <w:rsid w:val="6299545D"/>
    <w:rsid w:val="63930604"/>
    <w:rsid w:val="65332504"/>
    <w:rsid w:val="65373027"/>
    <w:rsid w:val="6626140A"/>
    <w:rsid w:val="667C61E9"/>
    <w:rsid w:val="68AD3DD9"/>
    <w:rsid w:val="690141B4"/>
    <w:rsid w:val="69EF579F"/>
    <w:rsid w:val="69FC4A48"/>
    <w:rsid w:val="6A5E4EF3"/>
    <w:rsid w:val="6A7977FC"/>
    <w:rsid w:val="6B250138"/>
    <w:rsid w:val="6B80647E"/>
    <w:rsid w:val="6C743BA5"/>
    <w:rsid w:val="6D000903"/>
    <w:rsid w:val="6DB56D37"/>
    <w:rsid w:val="6E060F1D"/>
    <w:rsid w:val="6E2F1D1F"/>
    <w:rsid w:val="6E5F6BE5"/>
    <w:rsid w:val="6EA827E3"/>
    <w:rsid w:val="6F3594A2"/>
    <w:rsid w:val="6F9B8201"/>
    <w:rsid w:val="70350B50"/>
    <w:rsid w:val="71403B66"/>
    <w:rsid w:val="71704923"/>
    <w:rsid w:val="71CA751F"/>
    <w:rsid w:val="73D21984"/>
    <w:rsid w:val="73DA812F"/>
    <w:rsid w:val="74C408E1"/>
    <w:rsid w:val="74C950EE"/>
    <w:rsid w:val="759174C1"/>
    <w:rsid w:val="770D1E00"/>
    <w:rsid w:val="774B5140"/>
    <w:rsid w:val="77634865"/>
    <w:rsid w:val="777668FB"/>
    <w:rsid w:val="77824E86"/>
    <w:rsid w:val="77BBD5E2"/>
    <w:rsid w:val="77D392D1"/>
    <w:rsid w:val="78126919"/>
    <w:rsid w:val="781B1A74"/>
    <w:rsid w:val="79EB590A"/>
    <w:rsid w:val="79F7670B"/>
    <w:rsid w:val="7A416D37"/>
    <w:rsid w:val="7B055779"/>
    <w:rsid w:val="7B330C14"/>
    <w:rsid w:val="7B574207"/>
    <w:rsid w:val="7BD536E7"/>
    <w:rsid w:val="7C131C27"/>
    <w:rsid w:val="7CAE6AF7"/>
    <w:rsid w:val="7CF61953"/>
    <w:rsid w:val="7D8A27A0"/>
    <w:rsid w:val="7DBB5AD9"/>
    <w:rsid w:val="7E0E515D"/>
    <w:rsid w:val="7E9E5823"/>
    <w:rsid w:val="7EBA477A"/>
    <w:rsid w:val="7F3E1198"/>
    <w:rsid w:val="7FDD3FC6"/>
    <w:rsid w:val="7FDF7DB3"/>
    <w:rsid w:val="9D7DCADD"/>
    <w:rsid w:val="9ED3C4E5"/>
    <w:rsid w:val="BBEFB1AA"/>
    <w:rsid w:val="BBFD5684"/>
    <w:rsid w:val="BFFEF00A"/>
    <w:rsid w:val="CFFE4E94"/>
    <w:rsid w:val="D5FEF8FD"/>
    <w:rsid w:val="D7BD4724"/>
    <w:rsid w:val="DBF66B88"/>
    <w:rsid w:val="DFE57F5D"/>
    <w:rsid w:val="E7FF1528"/>
    <w:rsid w:val="EB7E40AF"/>
    <w:rsid w:val="EBABEC5B"/>
    <w:rsid w:val="F3EA37E6"/>
    <w:rsid w:val="F4AB33ED"/>
    <w:rsid w:val="FE492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_GB2312"/>
      <w:b/>
    </w:rPr>
  </w:style>
  <w:style w:type="paragraph" w:styleId="5">
    <w:name w:val="heading 3"/>
    <w:basedOn w:val="1"/>
    <w:next w:val="1"/>
    <w:unhideWhenUsed/>
    <w:qFormat/>
    <w:uiPriority w:val="9"/>
    <w:pPr>
      <w:keepNext/>
      <w:keepLines/>
      <w:adjustRightInd w:val="0"/>
      <w:snapToGrid w:val="0"/>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6">
    <w:name w:val="index 8"/>
    <w:basedOn w:val="1"/>
    <w:next w:val="1"/>
    <w:qFormat/>
    <w:uiPriority w:val="0"/>
    <w:pPr>
      <w:ind w:left="1400" w:leftChars="1400"/>
    </w:pPr>
  </w:style>
  <w:style w:type="paragraph" w:styleId="7">
    <w:name w:val="Normal Indent"/>
    <w:basedOn w:val="1"/>
    <w:qFormat/>
    <w:uiPriority w:val="0"/>
    <w:pPr>
      <w:ind w:firstLine="420" w:firstLineChars="200"/>
    </w:pPr>
    <w:rPr>
      <w:rFonts w:ascii="Calibri" w:hAnsi="Calibri" w:eastAsia="宋体" w:cs="Times New Roman"/>
      <w:szCs w:val="24"/>
    </w:rPr>
  </w:style>
  <w:style w:type="paragraph" w:styleId="8">
    <w:name w:val="Block Text"/>
    <w:basedOn w:val="1"/>
    <w:qFormat/>
    <w:uiPriority w:val="0"/>
    <w:pPr>
      <w:widowControl/>
      <w:tabs>
        <w:tab w:val="left" w:pos="426"/>
      </w:tabs>
      <w:adjustRightInd w:val="0"/>
      <w:snapToGrid w:val="0"/>
      <w:spacing w:after="120"/>
      <w:ind w:left="1440" w:leftChars="700" w:right="1440" w:rightChars="700"/>
      <w:jc w:val="left"/>
    </w:pPr>
    <w:rPr>
      <w:rFonts w:ascii="Tahoma" w:hAnsi="Tahoma" w:eastAsia="微软雅黑" w:cs="Times New Roman"/>
      <w:kern w:val="0"/>
      <w:sz w:val="22"/>
      <w:szCs w:val="22"/>
    </w:rPr>
  </w:style>
  <w:style w:type="paragraph" w:styleId="9">
    <w:name w:val="Plain Text"/>
    <w:basedOn w:val="1"/>
    <w:next w:val="6"/>
    <w:qFormat/>
    <w:uiPriority w:val="0"/>
    <w:rPr>
      <w:rFonts w:ascii="宋体" w:hAnsi="Courier New" w:cs="Courier New"/>
      <w:szCs w:val="21"/>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2"/>
    <w:basedOn w:val="10"/>
    <w:next w:val="10"/>
    <w:qFormat/>
    <w:uiPriority w:val="0"/>
    <w:pPr>
      <w:spacing w:after="0" w:line="300" w:lineRule="auto"/>
      <w:ind w:left="0" w:leftChars="0"/>
    </w:pPr>
  </w:style>
  <w:style w:type="character" w:styleId="16">
    <w:name w:val="Strong"/>
    <w:basedOn w:val="15"/>
    <w:qFormat/>
    <w:uiPriority w:val="0"/>
    <w:rPr>
      <w:b/>
    </w:rPr>
  </w:style>
  <w:style w:type="character" w:styleId="17">
    <w:name w:val="FollowedHyperlink"/>
    <w:basedOn w:val="15"/>
    <w:qFormat/>
    <w:uiPriority w:val="0"/>
    <w:rPr>
      <w:color w:val="333333"/>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Acronym"/>
    <w:basedOn w:val="15"/>
    <w:qFormat/>
    <w:uiPriority w:val="0"/>
  </w:style>
  <w:style w:type="character" w:styleId="21">
    <w:name w:val="HTML Variable"/>
    <w:basedOn w:val="15"/>
    <w:qFormat/>
    <w:uiPriority w:val="0"/>
  </w:style>
  <w:style w:type="character" w:styleId="22">
    <w:name w:val="Hyperlink"/>
    <w:basedOn w:val="15"/>
    <w:qFormat/>
    <w:uiPriority w:val="0"/>
    <w:rPr>
      <w:color w:val="333333"/>
      <w:u w:val="none"/>
    </w:rPr>
  </w:style>
  <w:style w:type="character" w:styleId="23">
    <w:name w:val="HTML Code"/>
    <w:basedOn w:val="15"/>
    <w:qFormat/>
    <w:uiPriority w:val="0"/>
    <w:rPr>
      <w:rFonts w:ascii="Courier New" w:hAnsi="Courier New"/>
      <w:sz w:val="20"/>
      <w:u w:val="none"/>
    </w:rPr>
  </w:style>
  <w:style w:type="character" w:styleId="24">
    <w:name w:val="HTML Cite"/>
    <w:basedOn w:val="15"/>
    <w:qFormat/>
    <w:uiPriority w:val="0"/>
  </w:style>
  <w:style w:type="character" w:customStyle="1" w:styleId="25">
    <w:name w:val="curre"/>
    <w:basedOn w:val="15"/>
    <w:qFormat/>
    <w:uiPriority w:val="0"/>
    <w:rPr>
      <w:color w:val="FFFFFF"/>
      <w:shd w:val="clear" w:color="auto" w:fill="2F6EA2"/>
    </w:rPr>
  </w:style>
  <w:style w:type="character" w:customStyle="1" w:styleId="26">
    <w:name w:val="treeicon"/>
    <w:basedOn w:val="15"/>
    <w:qFormat/>
    <w:uiPriority w:val="0"/>
  </w:style>
  <w:style w:type="character" w:customStyle="1" w:styleId="27">
    <w:name w:val="hover48"/>
    <w:basedOn w:val="15"/>
    <w:qFormat/>
    <w:uiPriority w:val="0"/>
    <w:rPr>
      <w:color w:val="FFFFFF"/>
      <w:shd w:val="clear" w:fill="1091DB"/>
    </w:rPr>
  </w:style>
  <w:style w:type="character" w:customStyle="1" w:styleId="28">
    <w:name w:val="hover49"/>
    <w:basedOn w:val="15"/>
    <w:qFormat/>
    <w:uiPriority w:val="0"/>
    <w:rPr>
      <w:sz w:val="21"/>
      <w:szCs w:val="21"/>
    </w:rPr>
  </w:style>
  <w:style w:type="character" w:customStyle="1" w:styleId="29">
    <w:name w:val="hover50"/>
    <w:basedOn w:val="15"/>
    <w:qFormat/>
    <w:uiPriority w:val="0"/>
    <w:rPr>
      <w:color w:val="FFFFFF"/>
      <w:shd w:val="clear" w:fill="1091DB"/>
    </w:rPr>
  </w:style>
  <w:style w:type="paragraph" w:customStyle="1" w:styleId="30">
    <w:name w:val="正文空2字"/>
    <w:basedOn w:val="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1">
    <w:name w:val="左对齐正文"/>
    <w:qFormat/>
    <w:uiPriority w:val="99"/>
    <w:pPr>
      <w:spacing w:after="160" w:line="259" w:lineRule="auto"/>
    </w:pPr>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LHN</dc:creator>
  <cp:lastModifiedBy>longhua</cp:lastModifiedBy>
  <cp:lastPrinted>2021-04-18T07:36:00Z</cp:lastPrinted>
  <dcterms:modified xsi:type="dcterms:W3CDTF">2024-02-21T15:52:26Z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