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20"/>
        </w:tabs>
        <w:kinsoku/>
        <w:wordWrap/>
        <w:overflowPunct/>
        <w:topLinePunct w:val="0"/>
        <w:autoSpaceDE/>
        <w:autoSpaceDN/>
        <w:bidi w:val="0"/>
        <w:snapToGrid w:val="0"/>
        <w:spacing w:beforeAutospacing="0" w:afterAutospacing="0"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采购20台自助图书机2024年物流运营服务</w:t>
      </w:r>
    </w:p>
    <w:p>
      <w:pPr>
        <w:keepNext w:val="0"/>
        <w:keepLines w:val="0"/>
        <w:pageBreakBefore w:val="0"/>
        <w:tabs>
          <w:tab w:val="left" w:pos="1820"/>
        </w:tabs>
        <w:kinsoku/>
        <w:wordWrap/>
        <w:overflowPunct/>
        <w:topLinePunct w:val="0"/>
        <w:autoSpaceDE/>
        <w:autoSpaceDN/>
        <w:bidi w:val="0"/>
        <w:snapToGrid w:val="0"/>
        <w:spacing w:beforeAutospacing="0" w:afterAutospacing="0"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需求书</w:t>
      </w:r>
    </w:p>
    <w:p>
      <w:pPr>
        <w:pStyle w:val="2"/>
      </w:pP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项目目标</w:t>
      </w:r>
    </w:p>
    <w:p>
      <w:pPr>
        <w:pStyle w:val="2"/>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街区自助图书机是深圳市建设“图书馆之城（2006-2010）五年规划”重点建设项目，是我市公共文化服务体系的重要组成部分。《深圳市“图书馆之城”建设规划（2021—2025）》提出，应切实加强基础设施建设，完成城市街区自助图书机优化更新。</w:t>
      </w:r>
    </w:p>
    <w:p>
      <w:pPr>
        <w:pStyle w:val="2"/>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为保障我区自行采购的20台自助图书机物流运营顺利开展，确保设备正常服务，拟采购该20台自助图书机2024年物流运营服务。</w:t>
      </w: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时间安排</w:t>
      </w:r>
    </w:p>
    <w:p>
      <w:pPr>
        <w:pStyle w:val="2"/>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hint="eastAsia" w:eastAsia="仿宋_GB2312"/>
          <w:lang w:eastAsia="zh-CN"/>
        </w:rPr>
      </w:pPr>
      <w:r>
        <w:rPr>
          <w:rFonts w:hint="eastAsia" w:ascii="仿宋_GB2312" w:hAnsi="仿宋" w:eastAsia="仿宋_GB2312" w:cs="仿宋"/>
          <w:sz w:val="32"/>
          <w:szCs w:val="32"/>
          <w:lang w:val="en-US" w:eastAsia="zh-CN"/>
        </w:rPr>
        <w:t>2024年3月21日至2025年3月20日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具体时间安排以合同签订为准</w:t>
      </w:r>
      <w:r>
        <w:rPr>
          <w:rFonts w:hint="eastAsia" w:ascii="仿宋_GB2312" w:hAnsi="仿宋" w:eastAsia="仿宋_GB2312" w:cs="仿宋"/>
          <w:sz w:val="32"/>
          <w:szCs w:val="32"/>
          <w:lang w:eastAsia="zh-CN"/>
        </w:rPr>
        <w:t>）</w:t>
      </w: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项目内容及要求</w:t>
      </w:r>
    </w:p>
    <w:p>
      <w:pPr>
        <w:pStyle w:val="2"/>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ascii="仿宋_GB2312" w:hAnsi="Times New Roman" w:eastAsia="仿宋_GB2312"/>
          <w:sz w:val="32"/>
          <w:szCs w:val="32"/>
        </w:rPr>
      </w:pPr>
      <w:r>
        <w:rPr>
          <w:rFonts w:hint="eastAsia" w:ascii="仿宋_GB2312" w:hAnsi="Times New Roman" w:eastAsia="仿宋_GB2312"/>
          <w:sz w:val="32"/>
          <w:szCs w:val="32"/>
        </w:rPr>
        <w:t>经核准，</w:t>
      </w:r>
      <w:r>
        <w:rPr>
          <w:rFonts w:hint="eastAsia" w:ascii="仿宋_GB2312" w:hAnsi="Times New Roman" w:eastAsia="仿宋_GB2312"/>
          <w:sz w:val="32"/>
          <w:szCs w:val="32"/>
          <w:lang w:val="en-US" w:eastAsia="zh-CN"/>
        </w:rPr>
        <w:t>20</w:t>
      </w:r>
      <w:r>
        <w:rPr>
          <w:rFonts w:hint="eastAsia" w:ascii="仿宋_GB2312" w:hAnsi="Times New Roman" w:eastAsia="仿宋_GB2312"/>
          <w:sz w:val="32"/>
          <w:szCs w:val="32"/>
        </w:rPr>
        <w:t>台</w:t>
      </w:r>
      <w:r>
        <w:rPr>
          <w:rFonts w:hint="eastAsia" w:ascii="仿宋_GB2312" w:hAnsi="仿宋" w:eastAsia="仿宋_GB2312" w:cs="仿宋"/>
          <w:sz w:val="32"/>
          <w:szCs w:val="32"/>
        </w:rPr>
        <w:t>自助图书机</w:t>
      </w:r>
      <w:r>
        <w:rPr>
          <w:rFonts w:hint="eastAsia" w:ascii="仿宋_GB2312" w:hAnsi="Times New Roman" w:eastAsia="仿宋_GB2312"/>
          <w:sz w:val="32"/>
          <w:szCs w:val="32"/>
          <w:lang w:val="en-US" w:eastAsia="zh-CN"/>
        </w:rPr>
        <w:t>位置</w:t>
      </w:r>
      <w:r>
        <w:rPr>
          <w:rFonts w:hint="eastAsia" w:ascii="仿宋_GB2312" w:hAnsi="Times New Roman" w:eastAsia="仿宋_GB2312"/>
          <w:sz w:val="32"/>
          <w:szCs w:val="32"/>
        </w:rPr>
        <w:t>如下：</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4"/>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服务点名称</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服务机位置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福安雅园</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福安雅园4栋架空层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观澜高尔夫</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观澜街道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观澜街道观澜高尔夫大道1号高尔夫球场员工生活区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宝能科技园</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龙华新区清湖工业园清祥路1号宝能科技园9幢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万科九龙山</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福城街道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龙华区观澜中心龙观快速与悦兴路交汇处万科九龙山小区广场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民治九方购物广场</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民治街道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九方购物广场南面HM店铺门前（地铁四号线旁）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龙华区民法公园</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福城街道公园路4号（民法公园内）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福城富士康北门</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福城街道章阁社区桂月路富士康北门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365美丽花园小区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观澜街道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龙华东环二路与三联路交汇处365美丽花园小区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东华明珠</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龙华街道建设路与东环一路交汇处东华明珠小区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招商观园</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观湖街道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观湖办事处环观南路北侧（高新科技园旁边）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华侨新苑</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民治街道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龙华区民治街道华侨新苑住宅入门大堂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石三小区</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观澜街道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龙华区观澜街道牛湖社区石三小区篮球场旁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简上体育综合体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民治街道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简上体育综合体侧门外围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丰盛懿园</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福城街道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龙华区福水路3号丰盛懿园G座门口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樟坑径社区党群服务中心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观湖街道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樟坑径社区党群服务中心前门停车场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捷顺科技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观湖街道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捷顺科技中心A栋一楼架空层货梯旁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大浪行政中心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大浪街道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浪街道布龙路钓鱼台工业区21号A栋一楼便民服务中心旁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壹成中心七区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龙华街道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壹成中心七区门口左侧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景龙街心儿童公园</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龙华街道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景龙街心儿童公园阅读吧门口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汇海广场B座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龙华街道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汇海广场B座一楼大厅</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具体要求：中标</w:t>
      </w:r>
      <w:r>
        <w:rPr>
          <w:rFonts w:hint="eastAsia" w:ascii="仿宋_GB2312" w:hAnsi="仿宋" w:eastAsia="仿宋_GB2312" w:cs="仿宋"/>
          <w:sz w:val="32"/>
          <w:szCs w:val="32"/>
        </w:rPr>
        <w:t>负责按照</w:t>
      </w:r>
      <w:r>
        <w:rPr>
          <w:rFonts w:hint="eastAsia" w:ascii="仿宋_GB2312" w:hAnsi="仿宋" w:eastAsia="仿宋_GB2312" w:cs="仿宋"/>
          <w:sz w:val="32"/>
          <w:szCs w:val="32"/>
          <w:lang w:val="en-US" w:eastAsia="zh-CN"/>
        </w:rPr>
        <w:t>招标方</w:t>
      </w:r>
      <w:r>
        <w:rPr>
          <w:rFonts w:hint="eastAsia" w:ascii="仿宋_GB2312" w:hAnsi="仿宋" w:eastAsia="仿宋_GB2312" w:cs="仿宋"/>
          <w:sz w:val="32"/>
          <w:szCs w:val="32"/>
        </w:rPr>
        <w:t>的原则和要求，对自助图书馆的流通图书、读者证、读者缴纳现金、打印纸耗材等提供物流管理服务；</w:t>
      </w:r>
      <w:r>
        <w:rPr>
          <w:rFonts w:hint="eastAsia" w:ascii="仿宋_GB2312" w:hAnsi="仿宋_GB2312" w:eastAsia="仿宋_GB2312" w:cs="仿宋_GB2312"/>
          <w:b w:val="0"/>
          <w:bCs w:val="0"/>
          <w:color w:val="auto"/>
          <w:sz w:val="32"/>
          <w:szCs w:val="32"/>
          <w:lang w:val="en-US" w:eastAsia="zh-CN"/>
        </w:rPr>
        <w:t>建立7*24小时客服反馈渠道，处理读者投诉及咨询；对自助机业务数据统计、分析；运营策略制定及调整；</w:t>
      </w:r>
      <w:r>
        <w:rPr>
          <w:rFonts w:hint="eastAsia" w:ascii="仿宋_GB2312" w:hAnsi="仿宋" w:eastAsia="仿宋_GB2312" w:cs="仿宋"/>
          <w:sz w:val="32"/>
          <w:szCs w:val="32"/>
        </w:rPr>
        <w:t>对自助图书馆服务机现场的运营和服务情况进行现场核查管理；为自助图书馆服务机运行提供图书配送、读者证配送、打印纸装配、还回图书收取及分拣、读者缴纳现金的管理及结算和其他自助图书馆日常业务支持。</w:t>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供应商报价不能超过9</w:t>
      </w:r>
      <w:r>
        <w:rPr>
          <w:rFonts w:hint="eastAsia" w:ascii="仿宋_GB2312" w:hAnsi="仿宋" w:eastAsia="仿宋_GB2312" w:cs="仿宋"/>
          <w:sz w:val="32"/>
          <w:szCs w:val="32"/>
          <w:lang w:val="en-US" w:eastAsia="zh-CN"/>
        </w:rPr>
        <w:t>6.3</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预算明细参照附件一。报价总价及单项价格不能超过预算表价格。</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综合评分法</w:t>
      </w:r>
    </w:p>
    <w:p>
      <w:pPr>
        <w:keepNext w:val="0"/>
        <w:keepLines w:val="0"/>
        <w:pageBreakBefore w:val="0"/>
        <w:numPr>
          <w:ilvl w:val="0"/>
          <w:numId w:val="2"/>
        </w:numPr>
        <w:kinsoku/>
        <w:wordWrap/>
        <w:overflowPunct/>
        <w:topLinePunct w:val="0"/>
        <w:autoSpaceDE/>
        <w:autoSpaceDN/>
        <w:bidi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评分要求</w:t>
      </w:r>
    </w:p>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（二）评分权重</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456"/>
        <w:gridCol w:w="219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1355"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c>
          <w:tcPr>
            <w:tcW w:w="1209"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1240"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1355"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c>
          <w:tcPr>
            <w:tcW w:w="1209"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25</w:t>
            </w:r>
            <w:r>
              <w:rPr>
                <w:rFonts w:hint="eastAsia" w:ascii="仿宋_GB2312" w:hAnsi="仿宋_GB2312" w:eastAsia="仿宋_GB2312" w:cs="仿宋_GB2312"/>
                <w:b w:val="0"/>
                <w:bCs/>
                <w:szCs w:val="24"/>
                <w:highlight w:val="none"/>
              </w:rPr>
              <w:t>分</w:t>
            </w:r>
          </w:p>
        </w:tc>
        <w:tc>
          <w:tcPr>
            <w:tcW w:w="1240"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45</w:t>
            </w:r>
            <w:r>
              <w:rPr>
                <w:rFonts w:hint="eastAsia" w:ascii="仿宋_GB2312" w:hAnsi="仿宋_GB2312" w:eastAsia="仿宋_GB2312" w:cs="仿宋_GB2312"/>
                <w:b w:val="0"/>
                <w:bCs/>
                <w:szCs w:val="24"/>
                <w:highlight w:val="none"/>
              </w:rPr>
              <w:t>分</w:t>
            </w:r>
          </w:p>
        </w:tc>
      </w:tr>
    </w:tbl>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pPr>
      <w:r>
        <w:rPr>
          <w:rFonts w:hint="eastAsia" w:ascii="楷体" w:hAnsi="楷体" w:eastAsia="楷体" w:cs="楷体"/>
          <w:b w:val="0"/>
          <w:bCs/>
          <w:sz w:val="32"/>
          <w:szCs w:val="32"/>
        </w:rPr>
        <w:t>（三）评分标准</w:t>
      </w:r>
    </w:p>
    <w:tbl>
      <w:tblPr>
        <w:tblStyle w:val="1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2837"/>
        <w:gridCol w:w="681"/>
        <w:gridCol w:w="4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1</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价格</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hint="default"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8397" w:type="dxa"/>
            <w:gridSpan w:val="4"/>
            <w:tcBorders>
              <w:top w:val="single" w:color="000000" w:sz="8" w:space="0"/>
              <w:left w:val="single" w:color="000000" w:sz="8" w:space="0"/>
              <w:bottom w:val="single" w:color="000000" w:sz="8" w:space="0"/>
              <w:right w:val="single" w:color="000000" w:sz="8" w:space="0"/>
            </w:tcBorders>
          </w:tcPr>
          <w:p>
            <w:pPr>
              <w:spacing w:line="360" w:lineRule="auto"/>
              <w:rPr>
                <w:rFonts w:ascii="宋体" w:hAnsi="宋体" w:eastAsia="宋体" w:cs="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2</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技术</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hint="default"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1" w:type="dxa"/>
            <w:vMerge w:val="continue"/>
            <w:tcBorders>
              <w:left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8397" w:type="dxa"/>
            <w:gridSpan w:val="4"/>
            <w:tcBorders>
              <w:top w:val="single" w:color="000000" w:sz="8" w:space="0"/>
              <w:left w:val="single" w:color="000000" w:sz="8" w:space="0"/>
              <w:bottom w:val="single" w:color="000000" w:sz="8" w:space="0"/>
              <w:right w:val="single" w:color="000000" w:sz="8" w:space="0"/>
            </w:tcBorders>
          </w:tcPr>
          <w:p>
            <w:pPr>
              <w:spacing w:line="360" w:lineRule="auto"/>
              <w:rPr>
                <w:rFonts w:ascii="宋体" w:hAnsi="宋体" w:eastAsia="宋体" w:cs="宋体"/>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shd w:val="clear" w:color="auto" w:fill="E6EFFA"/>
            <w:vAlign w:val="center"/>
          </w:tcPr>
          <w:p>
            <w:pPr>
              <w:spacing w:line="360" w:lineRule="auto"/>
              <w:jc w:val="center"/>
              <w:rPr>
                <w:rFonts w:ascii="宋体" w:hAnsi="宋体" w:eastAsia="宋体" w:cs="宋体"/>
                <w:color w:val="0000FF"/>
                <w:sz w:val="22"/>
                <w:szCs w:val="22"/>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宋体" w:hAnsi="宋体" w:eastAsia="宋体" w:cs="宋体"/>
                <w:sz w:val="22"/>
                <w:szCs w:val="22"/>
                <w:highlight w:val="none"/>
              </w:rPr>
            </w:pPr>
            <w:r>
              <w:rPr>
                <w:rFonts w:hint="default" w:ascii="Times New Roman" w:hAnsi="Times New Roman" w:eastAsia="宋体" w:cs="Times New Roman"/>
                <w:color w:val="auto"/>
                <w:kern w:val="0"/>
                <w:sz w:val="22"/>
                <w:szCs w:val="22"/>
                <w:highlight w:val="none"/>
                <w:lang w:bidi="ar"/>
              </w:rPr>
              <w:t>服务方案的科学性、完整性和可实施性</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hint="default" w:ascii="宋体" w:hAnsi="宋体" w:eastAsia="宋体" w:cs="宋体"/>
                <w:sz w:val="22"/>
                <w:szCs w:val="22"/>
                <w:highlight w:val="none"/>
                <w:lang w:val="en-US"/>
              </w:rPr>
            </w:pPr>
            <w:r>
              <w:rPr>
                <w:rFonts w:hint="eastAsia" w:ascii="Times New Roman" w:hAnsi="Times New Roman" w:eastAsia="宋体" w:cs="Times New Roman"/>
                <w:color w:val="auto"/>
                <w:kern w:val="0"/>
                <w:sz w:val="22"/>
                <w:szCs w:val="22"/>
                <w:highlight w:val="none"/>
                <w:lang w:val="en-US" w:eastAsia="zh-CN" w:bidi="ar"/>
              </w:rPr>
              <w:t>15</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numPr>
                <w:ilvl w:val="0"/>
                <w:numId w:val="3"/>
              </w:numPr>
              <w:kinsoku/>
              <w:overflowPunct/>
              <w:topLinePunct w:val="0"/>
              <w:autoSpaceDE/>
              <w:autoSpaceDN/>
              <w:bidi w:val="0"/>
              <w:spacing w:line="360" w:lineRule="exact"/>
              <w:ind w:left="0" w:leftChars="0" w:firstLine="0" w:firstLineChars="0"/>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2"/>
                <w:sz w:val="22"/>
                <w:szCs w:val="22"/>
                <w:highlight w:val="none"/>
                <w:lang w:val="en-US" w:eastAsia="zh-CN" w:bidi="ar-SA"/>
              </w:rPr>
              <w:t>项目服务方案中包含</w:t>
            </w:r>
            <w:r>
              <w:rPr>
                <w:rFonts w:hint="default" w:ascii="Times New Roman" w:hAnsi="Times New Roman" w:eastAsia="宋体" w:cs="Times New Roman"/>
                <w:color w:val="auto"/>
                <w:kern w:val="0"/>
                <w:sz w:val="22"/>
                <w:szCs w:val="22"/>
                <w:highlight w:val="none"/>
                <w:lang w:bidi="ar"/>
              </w:rPr>
              <w:t>应包含以下内容：①物流配送及分拣转运规划；②项目维护服务规划；③工作人员管理及操作规范；④图书安全保障方案；⑤突发事件应急处理措施</w:t>
            </w:r>
            <w:r>
              <w:rPr>
                <w:rFonts w:hint="default" w:ascii="Times New Roman" w:hAnsi="Times New Roman" w:eastAsia="宋体" w:cs="Times New Roman"/>
                <w:kern w:val="2"/>
                <w:sz w:val="22"/>
                <w:szCs w:val="22"/>
                <w:highlight w:val="none"/>
                <w:lang w:val="en-US" w:eastAsia="zh-CN" w:bidi="ar-SA"/>
              </w:rPr>
              <w:t>。</w:t>
            </w:r>
          </w:p>
          <w:p>
            <w:pPr>
              <w:pStyle w:val="11"/>
              <w:keepNext w:val="0"/>
              <w:keepLines w:val="0"/>
              <w:pageBreakBefore w:val="0"/>
              <w:numPr>
                <w:ilvl w:val="0"/>
                <w:numId w:val="3"/>
              </w:numPr>
              <w:kinsoku/>
              <w:overflowPunct/>
              <w:topLinePunct w:val="0"/>
              <w:autoSpaceDE/>
              <w:autoSpaceDN/>
              <w:bidi w:val="0"/>
              <w:spacing w:line="360" w:lineRule="exact"/>
              <w:ind w:left="0" w:leftChars="0" w:firstLine="0" w:firstLineChars="0"/>
              <w:rPr>
                <w:rFonts w:ascii="宋体" w:hAnsi="宋体" w:eastAsia="宋体" w:cs="宋体"/>
                <w:sz w:val="22"/>
                <w:szCs w:val="22"/>
                <w:highlight w:val="none"/>
              </w:rPr>
            </w:pPr>
            <w:r>
              <w:rPr>
                <w:rFonts w:hint="eastAsia" w:ascii="Times New Roman" w:hAnsi="Times New Roman" w:eastAsia="宋体" w:cs="Times New Roman"/>
                <w:color w:val="auto"/>
                <w:kern w:val="0"/>
                <w:sz w:val="22"/>
                <w:szCs w:val="22"/>
                <w:highlight w:val="none"/>
                <w:lang w:val="en-US" w:eastAsia="zh-CN" w:bidi="ar"/>
              </w:rPr>
              <w:t>根据方案的内容进行评分，方案优得11-15分，方案良得6-10分，方案差得0-5分</w:t>
            </w:r>
            <w:r>
              <w:rPr>
                <w:rFonts w:hint="default" w:ascii="Times New Roman" w:hAnsi="Times New Roman" w:eastAsia="宋体" w:cs="Times New Roman"/>
                <w:color w:val="auto"/>
                <w:kern w:val="0"/>
                <w:sz w:val="22"/>
                <w:szCs w:val="22"/>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spacing w:line="360" w:lineRule="exact"/>
              <w:jc w:val="center"/>
              <w:rPr>
                <w:rFonts w:ascii="宋体" w:hAnsi="宋体" w:eastAsia="宋体" w:cs="宋体"/>
                <w:kern w:val="2"/>
                <w:sz w:val="22"/>
                <w:szCs w:val="22"/>
                <w:highlight w:val="none"/>
              </w:rPr>
            </w:pPr>
            <w:r>
              <w:rPr>
                <w:rFonts w:hint="default" w:ascii="Times New Roman" w:hAnsi="Times New Roman" w:eastAsia="宋体" w:cs="Times New Roman"/>
                <w:sz w:val="22"/>
                <w:szCs w:val="22"/>
                <w:highlight w:val="none"/>
              </w:rPr>
              <w:t>项目重难点分析、应对措施及相关合理化建议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spacing w:line="360" w:lineRule="exact"/>
              <w:jc w:val="center"/>
              <w:rPr>
                <w:rFonts w:hint="default" w:ascii="宋体" w:hAnsi="宋体" w:eastAsia="宋体" w:cs="宋体"/>
                <w:kern w:val="2"/>
                <w:sz w:val="22"/>
                <w:szCs w:val="22"/>
                <w:highlight w:val="none"/>
                <w:lang w:val="en-US"/>
              </w:rPr>
            </w:pPr>
            <w:r>
              <w:rPr>
                <w:rFonts w:hint="eastAsia" w:ascii="Times New Roman" w:hAnsi="Times New Roman" w:eastAsia="宋体" w:cs="Times New Roman"/>
                <w:sz w:val="22"/>
                <w:szCs w:val="22"/>
                <w:highlight w:val="none"/>
                <w:lang w:val="en-US" w:eastAsia="zh-CN"/>
              </w:rPr>
              <w:t>10</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numPr>
                <w:ilvl w:val="0"/>
                <w:numId w:val="4"/>
              </w:numPr>
              <w:kinsoku/>
              <w:overflowPunct/>
              <w:topLinePunct w:val="0"/>
              <w:autoSpaceDE/>
              <w:autoSpaceDN/>
              <w:bidi w:val="0"/>
              <w:spacing w:line="360" w:lineRule="exact"/>
              <w:ind w:left="0" w:leftChars="0" w:firstLine="0" w:firstLineChars="0"/>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2"/>
                <w:sz w:val="22"/>
                <w:szCs w:val="22"/>
                <w:highlight w:val="none"/>
                <w:lang w:val="en-US" w:eastAsia="zh-CN" w:bidi="ar-SA"/>
              </w:rPr>
              <w:t>针对项目特点，提出</w:t>
            </w:r>
            <w:r>
              <w:rPr>
                <w:rFonts w:hint="default" w:ascii="Times New Roman" w:hAnsi="Times New Roman" w:eastAsia="宋体" w:cs="Times New Roman"/>
                <w:color w:val="auto"/>
                <w:kern w:val="0"/>
                <w:sz w:val="22"/>
                <w:szCs w:val="22"/>
                <w:highlight w:val="none"/>
                <w:lang w:bidi="ar"/>
              </w:rPr>
              <w:t>对物流配送及分拣转运、项目维护服务</w:t>
            </w:r>
            <w:r>
              <w:rPr>
                <w:rFonts w:hint="eastAsia" w:ascii="Times New Roman" w:hAnsi="Times New Roman" w:eastAsia="宋体" w:cs="Times New Roman"/>
                <w:color w:val="auto"/>
                <w:kern w:val="0"/>
                <w:sz w:val="22"/>
                <w:szCs w:val="22"/>
                <w:highlight w:val="none"/>
                <w:lang w:eastAsia="zh-CN" w:bidi="ar"/>
              </w:rPr>
              <w:t>、</w:t>
            </w:r>
            <w:r>
              <w:rPr>
                <w:rFonts w:hint="default" w:ascii="Times New Roman" w:hAnsi="Times New Roman" w:eastAsia="宋体" w:cs="Times New Roman"/>
                <w:color w:val="auto"/>
                <w:kern w:val="0"/>
                <w:sz w:val="22"/>
                <w:szCs w:val="22"/>
                <w:highlight w:val="none"/>
                <w:lang w:bidi="ar"/>
              </w:rPr>
              <w:t>项目重点难点问题的识别情况及拟采用的解决方案</w:t>
            </w:r>
            <w:r>
              <w:rPr>
                <w:rFonts w:hint="default" w:ascii="Times New Roman" w:hAnsi="Times New Roman" w:eastAsia="宋体" w:cs="Times New Roman"/>
                <w:kern w:val="2"/>
                <w:sz w:val="22"/>
                <w:szCs w:val="22"/>
                <w:highlight w:val="none"/>
                <w:lang w:val="en-US" w:eastAsia="zh-CN" w:bidi="ar-SA"/>
              </w:rPr>
              <w:t xml:space="preserve">。 </w:t>
            </w:r>
          </w:p>
          <w:p>
            <w:pPr>
              <w:pStyle w:val="11"/>
              <w:keepNext w:val="0"/>
              <w:keepLines w:val="0"/>
              <w:pageBreakBefore w:val="0"/>
              <w:kinsoku/>
              <w:overflowPunct/>
              <w:topLinePunct w:val="0"/>
              <w:autoSpaceDE/>
              <w:autoSpaceDN/>
              <w:bidi w:val="0"/>
              <w:spacing w:line="360" w:lineRule="exact"/>
              <w:ind w:left="0" w:leftChars="0" w:firstLine="0" w:firstLineChars="0"/>
              <w:rPr>
                <w:rFonts w:ascii="宋体" w:hAnsi="宋体" w:eastAsia="宋体" w:cs="宋体"/>
                <w:sz w:val="22"/>
                <w:szCs w:val="22"/>
                <w:highlight w:val="none"/>
              </w:rPr>
            </w:pPr>
            <w:r>
              <w:rPr>
                <w:rFonts w:hint="default" w:ascii="Times New Roman" w:hAnsi="Times New Roman" w:eastAsia="宋体" w:cs="Times New Roman"/>
                <w:kern w:val="2"/>
                <w:sz w:val="22"/>
                <w:szCs w:val="22"/>
                <w:highlight w:val="none"/>
                <w:lang w:val="en-US" w:eastAsia="zh-CN" w:bidi="ar-SA"/>
              </w:rPr>
              <w:t>2、</w:t>
            </w:r>
            <w:r>
              <w:rPr>
                <w:rFonts w:hint="eastAsia" w:ascii="Times New Roman" w:hAnsi="Times New Roman" w:eastAsia="宋体" w:cs="Times New Roman"/>
                <w:kern w:val="2"/>
                <w:sz w:val="22"/>
                <w:szCs w:val="22"/>
                <w:highlight w:val="none"/>
                <w:lang w:val="en-US" w:eastAsia="zh-CN" w:bidi="ar-SA"/>
              </w:rPr>
              <w:t>根据重难点分析内容、应对措施、合理化建议方面进行评分，方案优得7-10分，方案良得4-6分，方案差得0-3分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33" w:hRule="atLeast"/>
          <w:jc w:val="center"/>
        </w:trPr>
        <w:tc>
          <w:tcPr>
            <w:tcW w:w="681" w:type="dxa"/>
            <w:vMerge w:val="continue"/>
            <w:tcBorders>
              <w:left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3</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宋体" w:hAnsi="宋体" w:eastAsia="宋体" w:cs="宋体"/>
                <w:sz w:val="22"/>
                <w:szCs w:val="22"/>
                <w:highlight w:val="none"/>
              </w:rPr>
            </w:pPr>
            <w:r>
              <w:rPr>
                <w:rFonts w:hint="default" w:ascii="Times New Roman" w:hAnsi="Times New Roman" w:eastAsia="宋体" w:cs="Times New Roman"/>
                <w:color w:val="auto"/>
                <w:kern w:val="0"/>
                <w:sz w:val="22"/>
                <w:szCs w:val="22"/>
                <w:highlight w:val="none"/>
                <w:lang w:bidi="ar"/>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spacing w:line="360" w:lineRule="exact"/>
              <w:jc w:val="center"/>
              <w:rPr>
                <w:rFonts w:hint="default" w:ascii="宋体" w:hAnsi="宋体" w:eastAsia="宋体" w:cs="宋体"/>
                <w:sz w:val="22"/>
                <w:szCs w:val="22"/>
                <w:highlight w:val="none"/>
                <w:lang w:val="en-US" w:eastAsia="zh-CN"/>
              </w:rPr>
            </w:pPr>
            <w:r>
              <w:rPr>
                <w:rFonts w:hint="eastAsia" w:ascii="Times New Roman" w:hAnsi="Times New Roman" w:eastAsia="宋体" w:cs="Times New Roman"/>
                <w:sz w:val="22"/>
                <w:szCs w:val="22"/>
                <w:highlight w:val="none"/>
                <w:lang w:val="en-US" w:eastAsia="zh-CN"/>
              </w:rPr>
              <w:t>10</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kinsoku/>
              <w:overflowPunct/>
              <w:topLinePunct w:val="0"/>
              <w:autoSpaceDE/>
              <w:autoSpaceDN/>
              <w:bidi w:val="0"/>
              <w:spacing w:line="360" w:lineRule="exact"/>
              <w:ind w:left="0" w:leftChars="0" w:firstLine="0" w:firstLineChars="0"/>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2"/>
                <w:sz w:val="22"/>
                <w:szCs w:val="22"/>
                <w:highlight w:val="none"/>
                <w:lang w:val="en-US" w:eastAsia="zh-CN" w:bidi="ar-SA"/>
              </w:rPr>
              <w:t>1、</w:t>
            </w:r>
            <w:r>
              <w:rPr>
                <w:rFonts w:hint="default" w:ascii="Times New Roman" w:hAnsi="Times New Roman" w:eastAsia="宋体" w:cs="Times New Roman"/>
                <w:color w:val="auto"/>
                <w:kern w:val="0"/>
                <w:sz w:val="22"/>
                <w:szCs w:val="22"/>
                <w:highlight w:val="none"/>
                <w:lang w:bidi="ar"/>
              </w:rPr>
              <w:t>根据</w:t>
            </w:r>
            <w:r>
              <w:rPr>
                <w:rFonts w:hint="default" w:ascii="Times New Roman" w:hAnsi="Times New Roman" w:eastAsia="宋体" w:cs="Times New Roman"/>
                <w:color w:val="auto"/>
                <w:kern w:val="0"/>
                <w:sz w:val="22"/>
                <w:szCs w:val="22"/>
                <w:highlight w:val="none"/>
                <w:lang w:val="en-US" w:eastAsia="zh-CN" w:bidi="ar"/>
              </w:rPr>
              <w:t>投标人提供的</w:t>
            </w:r>
            <w:r>
              <w:rPr>
                <w:rFonts w:hint="default" w:ascii="Times New Roman" w:hAnsi="Times New Roman" w:eastAsia="宋体" w:cs="Times New Roman"/>
                <w:color w:val="auto"/>
                <w:kern w:val="0"/>
                <w:sz w:val="22"/>
                <w:szCs w:val="22"/>
                <w:highlight w:val="none"/>
                <w:lang w:bidi="ar"/>
              </w:rPr>
              <w:t>质量（完成时间、安全、环保）保障措施及方案进行</w:t>
            </w:r>
            <w:r>
              <w:rPr>
                <w:rFonts w:hint="default" w:ascii="Times New Roman" w:hAnsi="Times New Roman" w:eastAsia="宋体" w:cs="Times New Roman"/>
                <w:color w:val="auto"/>
                <w:kern w:val="0"/>
                <w:sz w:val="22"/>
                <w:szCs w:val="22"/>
                <w:highlight w:val="none"/>
                <w:lang w:val="en-US" w:eastAsia="zh-CN" w:bidi="ar"/>
              </w:rPr>
              <w:t>综合评价</w:t>
            </w:r>
            <w:r>
              <w:rPr>
                <w:rFonts w:hint="default" w:ascii="Times New Roman" w:hAnsi="Times New Roman" w:eastAsia="宋体" w:cs="Times New Roman"/>
                <w:color w:val="auto"/>
                <w:kern w:val="0"/>
                <w:sz w:val="22"/>
                <w:szCs w:val="22"/>
                <w:highlight w:val="none"/>
                <w:lang w:bidi="ar"/>
              </w:rPr>
              <w:t>。</w:t>
            </w:r>
          </w:p>
          <w:p>
            <w:pPr>
              <w:pStyle w:val="11"/>
              <w:keepNext w:val="0"/>
              <w:keepLines w:val="0"/>
              <w:pageBreakBefore w:val="0"/>
              <w:kinsoku/>
              <w:overflowPunct/>
              <w:topLinePunct w:val="0"/>
              <w:autoSpaceDE/>
              <w:autoSpaceDN/>
              <w:bidi w:val="0"/>
              <w:spacing w:line="360" w:lineRule="exact"/>
              <w:ind w:left="0" w:leftChars="0" w:firstLine="0" w:firstLineChars="0"/>
              <w:rPr>
                <w:rFonts w:ascii="宋体" w:hAnsi="宋体" w:eastAsia="宋体" w:cs="宋体"/>
                <w:sz w:val="22"/>
                <w:szCs w:val="22"/>
                <w:highlight w:val="none"/>
              </w:rPr>
            </w:pPr>
            <w:r>
              <w:rPr>
                <w:rFonts w:hint="eastAsia" w:ascii="Times New Roman" w:hAnsi="Times New Roman" w:eastAsia="宋体" w:cs="Times New Roman"/>
                <w:kern w:val="2"/>
                <w:sz w:val="22"/>
                <w:szCs w:val="22"/>
                <w:highlight w:val="none"/>
                <w:lang w:val="en-US" w:eastAsia="zh-CN" w:bidi="ar-SA"/>
              </w:rPr>
              <w:t>2、</w:t>
            </w:r>
            <w:r>
              <w:rPr>
                <w:rFonts w:hint="eastAsia" w:ascii="Times New Roman" w:hAnsi="Times New Roman" w:eastAsia="宋体" w:cs="Times New Roman"/>
                <w:color w:val="auto"/>
                <w:kern w:val="0"/>
                <w:sz w:val="22"/>
                <w:szCs w:val="22"/>
                <w:highlight w:val="none"/>
                <w:lang w:val="en-US" w:eastAsia="zh-CN" w:bidi="ar"/>
              </w:rPr>
              <w:t>根据方案的内容进行评分，方案优得7-10分，方案良得4-6分，方案差得0-3分</w:t>
            </w:r>
            <w:r>
              <w:rPr>
                <w:rFonts w:hint="default" w:ascii="Times New Roman" w:hAnsi="Times New Roman" w:eastAsia="宋体" w:cs="Times New Roman"/>
                <w:color w:val="auto"/>
                <w:kern w:val="0"/>
                <w:sz w:val="22"/>
                <w:szCs w:val="22"/>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90" w:hRule="atLeast"/>
          <w:jc w:val="center"/>
        </w:trPr>
        <w:tc>
          <w:tcPr>
            <w:tcW w:w="681" w:type="dxa"/>
            <w:vMerge w:val="continue"/>
            <w:tcBorders>
              <w:left w:val="single" w:color="000000" w:sz="8" w:space="0"/>
              <w:right w:val="single" w:color="000000" w:sz="8" w:space="0"/>
            </w:tcBorders>
            <w:vAlign w:val="center"/>
          </w:tcPr>
          <w:p>
            <w:pPr>
              <w:keepNext w:val="0"/>
              <w:keepLines w:val="0"/>
              <w:pageBreakBefore w:val="0"/>
              <w:kinsoku/>
              <w:overflowPunct/>
              <w:topLinePunct w:val="0"/>
              <w:autoSpaceDE/>
              <w:autoSpaceDN/>
              <w:bidi w:val="0"/>
              <w:spacing w:line="360" w:lineRule="exact"/>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hint="eastAsia" w:ascii="宋体" w:hAnsi="宋体" w:eastAsia="宋体" w:cs="宋体"/>
                <w:kern w:val="2"/>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bidi="ar"/>
              </w:rPr>
              <w:t>拟安排的项目团队成员情况</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10</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kinsoku/>
              <w:overflowPunct/>
              <w:topLinePunct w:val="0"/>
              <w:autoSpaceDE/>
              <w:autoSpaceDN/>
              <w:bidi w:val="0"/>
              <w:spacing w:line="360" w:lineRule="exact"/>
              <w:ind w:left="0" w:leftChars="0" w:firstLine="0" w:firstLineChars="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评分内容：</w:t>
            </w:r>
          </w:p>
          <w:p>
            <w:pPr>
              <w:pStyle w:val="4"/>
              <w:keepNext w:val="0"/>
              <w:keepLines w:val="0"/>
              <w:pageBreakBefore w:val="0"/>
              <w:numPr>
                <w:ilvl w:val="0"/>
                <w:numId w:val="5"/>
              </w:numPr>
              <w:kinsoku/>
              <w:overflowPunct/>
              <w:topLinePunct w:val="0"/>
              <w:autoSpaceDE/>
              <w:autoSpaceDN/>
              <w:bidi w:val="0"/>
              <w:spacing w:line="360" w:lineRule="exact"/>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项目负责人具有全日制本科</w:t>
            </w:r>
            <w:r>
              <w:rPr>
                <w:rFonts w:hint="eastAsia" w:ascii="Times New Roman" w:hAnsi="Times New Roman" w:eastAsia="宋体" w:cs="Times New Roman"/>
                <w:b w:val="0"/>
                <w:bCs w:val="0"/>
                <w:sz w:val="22"/>
                <w:szCs w:val="22"/>
                <w:highlight w:val="none"/>
                <w:lang w:val="en-US" w:eastAsia="zh-CN"/>
              </w:rPr>
              <w:t>及以上</w:t>
            </w:r>
            <w:r>
              <w:rPr>
                <w:rFonts w:hint="default" w:ascii="Times New Roman" w:hAnsi="Times New Roman" w:eastAsia="宋体" w:cs="Times New Roman"/>
                <w:b w:val="0"/>
                <w:bCs w:val="0"/>
                <w:sz w:val="22"/>
                <w:szCs w:val="22"/>
                <w:highlight w:val="none"/>
              </w:rPr>
              <w:t>学历得</w:t>
            </w:r>
            <w:r>
              <w:rPr>
                <w:rFonts w:hint="eastAsia" w:ascii="Times New Roman" w:hAnsi="Times New Roman" w:eastAsia="宋体" w:cs="Times New Roman"/>
                <w:b w:val="0"/>
                <w:bCs w:val="0"/>
                <w:sz w:val="22"/>
                <w:szCs w:val="22"/>
                <w:highlight w:val="none"/>
                <w:lang w:val="en-US" w:eastAsia="zh-CN"/>
              </w:rPr>
              <w:t>2</w:t>
            </w:r>
            <w:r>
              <w:rPr>
                <w:rFonts w:hint="default" w:ascii="Times New Roman" w:hAnsi="Times New Roman" w:eastAsia="宋体" w:cs="Times New Roman"/>
                <w:b w:val="0"/>
                <w:bCs w:val="0"/>
                <w:sz w:val="22"/>
                <w:szCs w:val="22"/>
                <w:highlight w:val="none"/>
              </w:rPr>
              <w:t>分</w:t>
            </w:r>
            <w:r>
              <w:rPr>
                <w:rFonts w:hint="eastAsia" w:ascii="Times New Roman" w:hAnsi="Times New Roman" w:eastAsia="宋体" w:cs="Times New Roman"/>
                <w:b w:val="0"/>
                <w:bCs w:val="0"/>
                <w:sz w:val="22"/>
                <w:szCs w:val="22"/>
                <w:highlight w:val="none"/>
                <w:lang w:eastAsia="zh-CN"/>
              </w:rPr>
              <w:t>；</w:t>
            </w:r>
            <w:r>
              <w:rPr>
                <w:rFonts w:hint="default" w:ascii="Times New Roman" w:hAnsi="Times New Roman" w:eastAsia="宋体" w:cs="Times New Roman"/>
                <w:b w:val="0"/>
                <w:bCs w:val="0"/>
                <w:sz w:val="22"/>
                <w:szCs w:val="22"/>
                <w:highlight w:val="none"/>
              </w:rPr>
              <w:t>具有项目管理专业人员资格认证（PMP）证书得</w:t>
            </w:r>
            <w:r>
              <w:rPr>
                <w:rFonts w:hint="eastAsia" w:ascii="Times New Roman" w:hAnsi="Times New Roman" w:eastAsia="宋体" w:cs="Times New Roman"/>
                <w:b w:val="0"/>
                <w:bCs w:val="0"/>
                <w:sz w:val="22"/>
                <w:szCs w:val="22"/>
                <w:highlight w:val="none"/>
                <w:lang w:val="en-US" w:eastAsia="zh-CN"/>
              </w:rPr>
              <w:t>3</w:t>
            </w:r>
            <w:r>
              <w:rPr>
                <w:rFonts w:hint="default" w:ascii="Times New Roman" w:hAnsi="Times New Roman" w:eastAsia="宋体" w:cs="Times New Roman"/>
                <w:b w:val="0"/>
                <w:bCs w:val="0"/>
                <w:sz w:val="22"/>
                <w:szCs w:val="22"/>
                <w:highlight w:val="none"/>
              </w:rPr>
              <w:t>分；</w:t>
            </w:r>
          </w:p>
          <w:p>
            <w:pPr>
              <w:keepNext w:val="0"/>
              <w:keepLines w:val="0"/>
              <w:pageBreakBefore w:val="0"/>
              <w:widowControl/>
              <w:numPr>
                <w:ilvl w:val="0"/>
                <w:numId w:val="0"/>
              </w:numPr>
              <w:kinsoku/>
              <w:overflowPunct/>
              <w:topLinePunct w:val="0"/>
              <w:autoSpaceDE/>
              <w:autoSpaceDN/>
              <w:bidi w:val="0"/>
              <w:spacing w:line="360" w:lineRule="exact"/>
              <w:jc w:val="left"/>
              <w:textAlignment w:val="center"/>
              <w:rPr>
                <w:rFonts w:hint="default" w:ascii="Times New Roman" w:hAnsi="Times New Roman" w:eastAsia="宋体" w:cs="Times New Roman"/>
                <w:color w:val="auto"/>
                <w:kern w:val="0"/>
                <w:sz w:val="22"/>
                <w:szCs w:val="22"/>
                <w:highlight w:val="none"/>
                <w:lang w:bidi="ar"/>
              </w:rPr>
            </w:pPr>
            <w:r>
              <w:rPr>
                <w:rFonts w:hint="eastAsia" w:ascii="Times New Roman" w:hAnsi="Times New Roman" w:eastAsia="宋体" w:cs="Times New Roman"/>
                <w:color w:val="auto"/>
                <w:kern w:val="0"/>
                <w:sz w:val="22"/>
                <w:szCs w:val="22"/>
                <w:highlight w:val="none"/>
                <w:lang w:val="en-US" w:eastAsia="zh-CN" w:bidi="ar"/>
              </w:rPr>
              <w:t>2、</w:t>
            </w:r>
            <w:r>
              <w:rPr>
                <w:rFonts w:hint="default" w:ascii="Times New Roman" w:hAnsi="Times New Roman" w:eastAsia="宋体" w:cs="Times New Roman"/>
                <w:color w:val="auto"/>
                <w:kern w:val="0"/>
                <w:sz w:val="22"/>
                <w:szCs w:val="22"/>
                <w:highlight w:val="none"/>
                <w:lang w:bidi="ar"/>
              </w:rPr>
              <w:t>项目团队成员中</w:t>
            </w:r>
            <w:r>
              <w:rPr>
                <w:rFonts w:hint="eastAsia" w:ascii="Times New Roman" w:hAnsi="Times New Roman" w:eastAsia="宋体" w:cs="Times New Roman"/>
                <w:color w:val="auto"/>
                <w:kern w:val="0"/>
                <w:sz w:val="22"/>
                <w:szCs w:val="22"/>
                <w:highlight w:val="none"/>
                <w:lang w:eastAsia="zh-CN" w:bidi="ar"/>
              </w:rPr>
              <w:t>（</w:t>
            </w:r>
            <w:r>
              <w:rPr>
                <w:rFonts w:hint="eastAsia" w:ascii="Times New Roman" w:hAnsi="Times New Roman" w:eastAsia="宋体" w:cs="Times New Roman"/>
                <w:color w:val="auto"/>
                <w:kern w:val="0"/>
                <w:sz w:val="22"/>
                <w:szCs w:val="22"/>
                <w:highlight w:val="none"/>
                <w:lang w:val="en-US" w:eastAsia="zh-CN" w:bidi="ar"/>
              </w:rPr>
              <w:t>除项目负责人外</w:t>
            </w:r>
            <w:r>
              <w:rPr>
                <w:rFonts w:hint="eastAsia" w:ascii="Times New Roman" w:hAnsi="Times New Roman" w:eastAsia="宋体" w:cs="Times New Roman"/>
                <w:color w:val="auto"/>
                <w:kern w:val="0"/>
                <w:sz w:val="22"/>
                <w:szCs w:val="22"/>
                <w:highlight w:val="none"/>
                <w:lang w:eastAsia="zh-CN" w:bidi="ar"/>
              </w:rPr>
              <w:t>）</w:t>
            </w:r>
            <w:r>
              <w:rPr>
                <w:rFonts w:hint="default" w:ascii="Times New Roman" w:hAnsi="Times New Roman" w:eastAsia="宋体" w:cs="Times New Roman"/>
                <w:color w:val="auto"/>
                <w:kern w:val="0"/>
                <w:sz w:val="22"/>
                <w:szCs w:val="22"/>
                <w:highlight w:val="none"/>
                <w:lang w:bidi="ar"/>
              </w:rPr>
              <w:t>拥有本科（或以上）学历的，每增加1人得</w:t>
            </w:r>
            <w:r>
              <w:rPr>
                <w:rFonts w:hint="eastAsia" w:ascii="Times New Roman" w:hAnsi="Times New Roman" w:eastAsia="宋体" w:cs="Times New Roman"/>
                <w:color w:val="auto"/>
                <w:kern w:val="0"/>
                <w:sz w:val="22"/>
                <w:szCs w:val="22"/>
                <w:highlight w:val="none"/>
                <w:lang w:val="en-US" w:eastAsia="zh-CN" w:bidi="ar"/>
              </w:rPr>
              <w:t>1</w:t>
            </w:r>
            <w:r>
              <w:rPr>
                <w:rFonts w:hint="default" w:ascii="Times New Roman" w:hAnsi="Times New Roman" w:eastAsia="宋体" w:cs="Times New Roman"/>
                <w:color w:val="auto"/>
                <w:kern w:val="0"/>
                <w:sz w:val="22"/>
                <w:szCs w:val="22"/>
                <w:highlight w:val="none"/>
                <w:lang w:bidi="ar"/>
              </w:rPr>
              <w:t>分，本小项最高得</w:t>
            </w:r>
            <w:r>
              <w:rPr>
                <w:rFonts w:hint="eastAsia" w:ascii="Times New Roman" w:hAnsi="Times New Roman" w:eastAsia="宋体" w:cs="Times New Roman"/>
                <w:color w:val="auto"/>
                <w:kern w:val="0"/>
                <w:sz w:val="22"/>
                <w:szCs w:val="22"/>
                <w:highlight w:val="none"/>
                <w:lang w:val="en-US" w:eastAsia="zh-CN" w:bidi="ar"/>
              </w:rPr>
              <w:t>2</w:t>
            </w:r>
            <w:r>
              <w:rPr>
                <w:rFonts w:hint="default" w:ascii="Times New Roman" w:hAnsi="Times New Roman" w:eastAsia="宋体" w:cs="Times New Roman"/>
                <w:color w:val="auto"/>
                <w:kern w:val="0"/>
                <w:sz w:val="22"/>
                <w:szCs w:val="22"/>
                <w:highlight w:val="none"/>
                <w:lang w:bidi="ar"/>
              </w:rPr>
              <w:t>分</w:t>
            </w:r>
            <w:r>
              <w:rPr>
                <w:rFonts w:hint="eastAsia" w:ascii="Times New Roman" w:hAnsi="Times New Roman" w:eastAsia="宋体" w:cs="Times New Roman"/>
                <w:color w:val="auto"/>
                <w:kern w:val="0"/>
                <w:sz w:val="22"/>
                <w:szCs w:val="22"/>
                <w:highlight w:val="none"/>
                <w:lang w:eastAsia="zh-CN" w:bidi="ar"/>
              </w:rPr>
              <w:t>；</w:t>
            </w:r>
          </w:p>
          <w:p>
            <w:pPr>
              <w:keepNext w:val="0"/>
              <w:keepLines w:val="0"/>
              <w:pageBreakBefore w:val="0"/>
              <w:widowControl/>
              <w:numPr>
                <w:ilvl w:val="0"/>
                <w:numId w:val="0"/>
              </w:numPr>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szCs w:val="22"/>
                <w:highlight w:val="none"/>
                <w:lang w:val="en-US" w:eastAsia="zh-CN" w:bidi="ar"/>
              </w:rPr>
              <w:t>3、</w:t>
            </w:r>
            <w:r>
              <w:rPr>
                <w:rFonts w:hint="default" w:ascii="Times New Roman" w:hAnsi="Times New Roman" w:eastAsia="宋体" w:cs="Times New Roman"/>
                <w:color w:val="auto"/>
                <w:kern w:val="0"/>
                <w:sz w:val="22"/>
                <w:szCs w:val="22"/>
                <w:highlight w:val="none"/>
                <w:lang w:bidi="ar"/>
              </w:rPr>
              <w:t>项目团队成员中具备</w:t>
            </w:r>
            <w:r>
              <w:rPr>
                <w:rFonts w:hint="eastAsia" w:ascii="Times New Roman" w:hAnsi="Times New Roman" w:eastAsia="宋体" w:cs="Times New Roman"/>
                <w:color w:val="auto"/>
                <w:kern w:val="0"/>
                <w:sz w:val="22"/>
                <w:szCs w:val="22"/>
                <w:highlight w:val="none"/>
                <w:lang w:val="en-US" w:eastAsia="zh-CN" w:bidi="ar"/>
              </w:rPr>
              <w:t>高级网络信息安全</w:t>
            </w:r>
            <w:r>
              <w:rPr>
                <w:rFonts w:hint="default" w:ascii="Times New Roman" w:hAnsi="Times New Roman" w:eastAsia="宋体" w:cs="Times New Roman"/>
                <w:color w:val="auto"/>
                <w:kern w:val="0"/>
                <w:sz w:val="22"/>
                <w:szCs w:val="22"/>
                <w:highlight w:val="none"/>
                <w:lang w:bidi="ar"/>
              </w:rPr>
              <w:t>工程师得</w:t>
            </w:r>
            <w:r>
              <w:rPr>
                <w:rFonts w:hint="eastAsia" w:ascii="Times New Roman" w:hAnsi="Times New Roman" w:eastAsia="宋体" w:cs="Times New Roman"/>
                <w:color w:val="auto"/>
                <w:kern w:val="0"/>
                <w:sz w:val="22"/>
                <w:szCs w:val="22"/>
                <w:highlight w:val="none"/>
                <w:lang w:val="en-US" w:eastAsia="zh-CN" w:bidi="ar"/>
              </w:rPr>
              <w:t>1</w:t>
            </w:r>
            <w:r>
              <w:rPr>
                <w:rFonts w:hint="default" w:ascii="Times New Roman" w:hAnsi="Times New Roman" w:eastAsia="宋体" w:cs="Times New Roman"/>
                <w:color w:val="auto"/>
                <w:kern w:val="0"/>
                <w:sz w:val="22"/>
                <w:szCs w:val="22"/>
                <w:highlight w:val="none"/>
                <w:lang w:bidi="ar"/>
              </w:rPr>
              <w:t>分；</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szCs w:val="22"/>
                <w:highlight w:val="none"/>
                <w:lang w:val="en-US" w:eastAsia="zh-CN" w:bidi="ar"/>
              </w:rPr>
              <w:t>4、</w:t>
            </w:r>
            <w:r>
              <w:rPr>
                <w:rFonts w:hint="default" w:ascii="Times New Roman" w:hAnsi="Times New Roman" w:eastAsia="宋体" w:cs="Times New Roman"/>
                <w:color w:val="auto"/>
                <w:kern w:val="0"/>
                <w:sz w:val="22"/>
                <w:szCs w:val="22"/>
                <w:highlight w:val="none"/>
                <w:lang w:bidi="ar"/>
              </w:rPr>
              <w:t>项目团队成员中具备中级及以上电工证得1分；</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color w:val="auto"/>
                <w:kern w:val="0"/>
                <w:sz w:val="22"/>
                <w:szCs w:val="22"/>
                <w:highlight w:val="none"/>
                <w:lang w:val="en-US" w:eastAsia="zh-CN" w:bidi="ar"/>
              </w:rPr>
              <w:t>5、</w:t>
            </w:r>
            <w:r>
              <w:rPr>
                <w:rFonts w:hint="default" w:ascii="Times New Roman" w:hAnsi="Times New Roman" w:eastAsia="宋体" w:cs="Times New Roman"/>
                <w:color w:val="auto"/>
                <w:kern w:val="0"/>
                <w:sz w:val="22"/>
                <w:szCs w:val="22"/>
                <w:highlight w:val="none"/>
                <w:lang w:bidi="ar"/>
              </w:rPr>
              <w:t>项目团队成员中具备中国物流与采购联合会</w:t>
            </w:r>
            <w:r>
              <w:rPr>
                <w:rFonts w:hint="eastAsia" w:ascii="Times New Roman" w:hAnsi="Times New Roman" w:eastAsia="宋体" w:cs="Times New Roman"/>
                <w:color w:val="auto"/>
                <w:kern w:val="0"/>
                <w:sz w:val="22"/>
                <w:szCs w:val="22"/>
                <w:highlight w:val="none"/>
                <w:lang w:val="en-US" w:eastAsia="zh-CN" w:bidi="ar"/>
              </w:rPr>
              <w:t>或</w:t>
            </w:r>
            <w:r>
              <w:rPr>
                <w:rFonts w:hint="default" w:ascii="Times New Roman" w:hAnsi="Times New Roman" w:eastAsia="宋体" w:cs="Times New Roman"/>
                <w:color w:val="auto"/>
                <w:kern w:val="0"/>
                <w:sz w:val="22"/>
                <w:szCs w:val="22"/>
                <w:highlight w:val="none"/>
                <w:lang w:bidi="ar"/>
              </w:rPr>
              <w:t>全国物流标准化技术委员会颁发的物流师资格证书得</w:t>
            </w:r>
            <w:r>
              <w:rPr>
                <w:rFonts w:hint="eastAsia" w:ascii="Times New Roman" w:hAnsi="Times New Roman" w:eastAsia="宋体" w:cs="Times New Roman"/>
                <w:color w:val="auto"/>
                <w:kern w:val="0"/>
                <w:sz w:val="22"/>
                <w:szCs w:val="22"/>
                <w:highlight w:val="none"/>
                <w:lang w:val="en-US" w:eastAsia="zh-CN" w:bidi="ar"/>
              </w:rPr>
              <w:t>1</w:t>
            </w:r>
            <w:r>
              <w:rPr>
                <w:rFonts w:hint="default" w:ascii="Times New Roman" w:hAnsi="Times New Roman" w:eastAsia="宋体" w:cs="Times New Roman"/>
                <w:color w:val="auto"/>
                <w:kern w:val="0"/>
                <w:sz w:val="22"/>
                <w:szCs w:val="22"/>
                <w:highlight w:val="none"/>
                <w:lang w:bidi="ar"/>
              </w:rPr>
              <w:t>分。</w:t>
            </w:r>
          </w:p>
          <w:p>
            <w:pPr>
              <w:rPr>
                <w:rFonts w:hint="default"/>
              </w:rPr>
            </w:pPr>
          </w:p>
          <w:p>
            <w:pPr>
              <w:keepNext w:val="0"/>
              <w:keepLines w:val="0"/>
              <w:pageBreakBefore w:val="0"/>
              <w:kinsoku/>
              <w:overflowPunct/>
              <w:topLinePunct w:val="0"/>
              <w:autoSpaceDE/>
              <w:autoSpaceDN/>
              <w:bidi w:val="0"/>
              <w:spacing w:line="360" w:lineRule="exact"/>
              <w:rPr>
                <w:rFonts w:hint="default" w:ascii="Times New Roman" w:hAnsi="Times New Roman" w:eastAsia="宋体" w:cs="Times New Roman"/>
                <w:b w:val="0"/>
                <w:bCs w:val="0"/>
                <w:color w:val="auto"/>
                <w:kern w:val="0"/>
                <w:sz w:val="22"/>
                <w:szCs w:val="22"/>
                <w:highlight w:val="none"/>
                <w:lang w:bidi="ar"/>
              </w:rPr>
            </w:pPr>
            <w:r>
              <w:rPr>
                <w:rFonts w:hint="default" w:ascii="Times New Roman" w:hAnsi="Times New Roman" w:eastAsia="宋体" w:cs="Times New Roman"/>
                <w:b w:val="0"/>
                <w:bCs w:val="0"/>
                <w:color w:val="auto"/>
                <w:kern w:val="0"/>
                <w:sz w:val="22"/>
                <w:szCs w:val="22"/>
                <w:highlight w:val="none"/>
                <w:lang w:bidi="ar"/>
              </w:rPr>
              <w:t>评分标准：</w:t>
            </w:r>
          </w:p>
          <w:p>
            <w:pPr>
              <w:pStyle w:val="4"/>
              <w:keepNext w:val="0"/>
              <w:keepLines w:val="0"/>
              <w:pageBreakBefore w:val="0"/>
              <w:kinsoku/>
              <w:overflowPunct/>
              <w:topLinePunct w:val="0"/>
              <w:autoSpaceDE/>
              <w:autoSpaceDN/>
              <w:bidi w:val="0"/>
              <w:spacing w:line="360" w:lineRule="exact"/>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color w:val="auto"/>
                <w:kern w:val="0"/>
                <w:sz w:val="22"/>
                <w:szCs w:val="22"/>
                <w:highlight w:val="none"/>
                <w:lang w:bidi="ar"/>
              </w:rPr>
              <w:t>①项目负责人必须为投标人自有员工，提供相关人员资质证书及开标日前由投标人为其缴交的载有政府部门公章的近</w:t>
            </w:r>
            <w:r>
              <w:rPr>
                <w:rFonts w:hint="eastAsia" w:ascii="Times New Roman" w:hAnsi="Times New Roman" w:eastAsia="宋体" w:cs="Times New Roman"/>
                <w:b w:val="0"/>
                <w:bCs w:val="0"/>
                <w:color w:val="auto"/>
                <w:kern w:val="0"/>
                <w:sz w:val="22"/>
                <w:szCs w:val="22"/>
                <w:highlight w:val="none"/>
                <w:lang w:val="en-US" w:eastAsia="zh-CN" w:bidi="ar"/>
              </w:rPr>
              <w:t>1</w:t>
            </w:r>
            <w:r>
              <w:rPr>
                <w:rFonts w:hint="default" w:ascii="Times New Roman" w:hAnsi="Times New Roman" w:eastAsia="宋体" w:cs="Times New Roman"/>
                <w:b w:val="0"/>
                <w:bCs w:val="0"/>
                <w:color w:val="auto"/>
                <w:kern w:val="0"/>
                <w:sz w:val="22"/>
                <w:szCs w:val="22"/>
                <w:highlight w:val="none"/>
                <w:lang w:bidi="ar"/>
              </w:rPr>
              <w:t>年的社保缴交证明材料（已退休返聘人员需提供聘用合同），如开标日上一个月的社保材料因政府部门原因暂时无法取得，则可以往前顺延一个月；社保资料必须至少显示缴交养老保险信息，未显示该信息的该社保资料则不符合要求，原件备查。未按要求提供或提供不清晰导致专家无法判断的不得分。提供毕业证书扫描件，以及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②提供项目管理专业人员资格认证证书的扫描件。</w:t>
            </w:r>
          </w:p>
          <w:p>
            <w:pPr>
              <w:keepNext w:val="0"/>
              <w:keepLines w:val="0"/>
              <w:pageBreakBefore w:val="0"/>
              <w:kinsoku/>
              <w:overflowPunct/>
              <w:topLinePunct w:val="0"/>
              <w:autoSpaceDE/>
              <w:autoSpaceDN/>
              <w:bidi w:val="0"/>
              <w:spacing w:line="360" w:lineRule="exact"/>
              <w:rPr>
                <w:rFonts w:hint="eastAsia" w:ascii="宋体" w:hAnsi="宋体" w:eastAsia="宋体" w:cs="宋体"/>
                <w:kern w:val="2"/>
                <w:sz w:val="22"/>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3</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ascii="宋体" w:hAnsi="宋体" w:eastAsia="宋体" w:cs="宋体"/>
                <w:color w:val="0000FF"/>
                <w:sz w:val="22"/>
                <w:szCs w:val="22"/>
                <w:highlight w:val="none"/>
              </w:rPr>
            </w:pPr>
            <w:r>
              <w:rPr>
                <w:rFonts w:hint="eastAsia" w:ascii="宋体" w:hAnsi="宋体" w:eastAsia="宋体" w:cs="宋体"/>
                <w:color w:val="0000FF"/>
                <w:sz w:val="22"/>
                <w:szCs w:val="22"/>
                <w:highlight w:val="none"/>
              </w:rPr>
              <w:t>商务</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rPr>
                <w:rFonts w:hint="default"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auto"/>
              <w:jc w:val="center"/>
              <w:rPr>
                <w:rFonts w:ascii="宋体" w:hAnsi="宋体" w:eastAsia="宋体" w:cs="宋体"/>
                <w:color w:val="0000FF"/>
                <w:sz w:val="22"/>
                <w:szCs w:val="22"/>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eastAsia="宋体" w:cs="宋体"/>
                <w:sz w:val="22"/>
                <w:szCs w:val="22"/>
                <w:highlight w:val="none"/>
              </w:rPr>
            </w:pPr>
            <w:r>
              <w:rPr>
                <w:rFonts w:hint="eastAsia" w:ascii="宋体" w:hAnsi="宋体" w:eastAsia="宋体" w:cs="宋体"/>
                <w:sz w:val="22"/>
                <w:szCs w:val="22"/>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7"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宋体" w:hAnsi="宋体" w:eastAsia="宋体" w:cs="宋体"/>
                <w:kern w:val="2"/>
                <w:sz w:val="22"/>
                <w:szCs w:val="22"/>
                <w:highlight w:val="none"/>
              </w:rPr>
            </w:pPr>
            <w:r>
              <w:rPr>
                <w:rFonts w:hint="default" w:ascii="Times New Roman" w:hAnsi="Times New Roman" w:eastAsia="宋体" w:cs="Times New Roman"/>
                <w:color w:val="auto"/>
                <w:kern w:val="0"/>
                <w:sz w:val="22"/>
                <w:szCs w:val="22"/>
                <w:highlight w:val="none"/>
                <w:lang w:bidi="ar"/>
              </w:rPr>
              <w:t>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hint="default" w:ascii="宋体" w:hAnsi="宋体" w:eastAsia="宋体" w:cs="宋体"/>
                <w:kern w:val="2"/>
                <w:sz w:val="22"/>
                <w:szCs w:val="22"/>
                <w:highlight w:val="none"/>
                <w:lang w:val="en-US"/>
              </w:rPr>
            </w:pPr>
            <w:r>
              <w:rPr>
                <w:rFonts w:hint="eastAsia" w:ascii="Times New Roman" w:hAnsi="Times New Roman" w:eastAsia="宋体" w:cs="Times New Roman"/>
                <w:color w:val="auto"/>
                <w:kern w:val="0"/>
                <w:sz w:val="22"/>
                <w:szCs w:val="22"/>
                <w:highlight w:val="none"/>
                <w:lang w:val="en-US" w:eastAsia="zh-CN" w:bidi="ar"/>
              </w:rPr>
              <w:t>5</w:t>
            </w:r>
          </w:p>
        </w:tc>
        <w:tc>
          <w:tcPr>
            <w:tcW w:w="4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hint="eastAsia" w:ascii="Times New Roman" w:hAnsi="Times New Roman" w:eastAsia="宋体" w:cs="Times New Roman"/>
                <w:color w:val="auto"/>
                <w:kern w:val="0"/>
                <w:sz w:val="22"/>
                <w:szCs w:val="22"/>
                <w:highlight w:val="none"/>
                <w:lang w:bidi="ar"/>
              </w:rPr>
            </w:pPr>
            <w:r>
              <w:rPr>
                <w:rFonts w:hint="eastAsia" w:ascii="Times New Roman" w:hAnsi="Times New Roman" w:eastAsia="宋体" w:cs="Times New Roman"/>
                <w:color w:val="auto"/>
                <w:kern w:val="0"/>
                <w:sz w:val="22"/>
                <w:szCs w:val="22"/>
                <w:highlight w:val="none"/>
                <w:lang w:bidi="ar"/>
              </w:rPr>
              <w:t>承诺满足招标文件要求，保证措施合理且有针对性，有具体的违约责任承诺。</w:t>
            </w:r>
          </w:p>
          <w:p>
            <w:pPr>
              <w:keepNext w:val="0"/>
              <w:keepLines w:val="0"/>
              <w:pageBreakBefore w:val="0"/>
              <w:widowControl/>
              <w:kinsoku/>
              <w:overflowPunct/>
              <w:topLinePunct w:val="0"/>
              <w:autoSpaceDE/>
              <w:autoSpaceDN/>
              <w:bidi w:val="0"/>
              <w:spacing w:line="360" w:lineRule="exact"/>
              <w:jc w:val="left"/>
              <w:textAlignment w:val="center"/>
              <w:rPr>
                <w:rFonts w:hint="eastAsia"/>
              </w:rPr>
            </w:pPr>
            <w:r>
              <w:rPr>
                <w:rFonts w:hint="eastAsia" w:ascii="Times New Roman" w:hAnsi="Times New Roman" w:eastAsia="宋体" w:cs="Times New Roman"/>
                <w:color w:val="auto"/>
                <w:kern w:val="0"/>
                <w:sz w:val="22"/>
                <w:szCs w:val="22"/>
                <w:highlight w:val="none"/>
                <w:lang w:val="en-US" w:eastAsia="zh-CN" w:bidi="ar"/>
              </w:rPr>
              <w:t>评分标准：</w:t>
            </w:r>
          </w:p>
          <w:p>
            <w:pPr>
              <w:keepNext w:val="0"/>
              <w:keepLines w:val="0"/>
              <w:pageBreakBefore w:val="0"/>
              <w:widowControl/>
              <w:kinsoku/>
              <w:overflowPunct/>
              <w:topLinePunct w:val="0"/>
              <w:autoSpaceDE/>
              <w:autoSpaceDN/>
              <w:bidi w:val="0"/>
              <w:spacing w:line="360" w:lineRule="exact"/>
              <w:jc w:val="left"/>
              <w:textAlignment w:val="center"/>
            </w:pPr>
            <w:r>
              <w:rPr>
                <w:rFonts w:hint="eastAsia" w:ascii="Times New Roman" w:hAnsi="Times New Roman" w:eastAsia="宋体" w:cs="Times New Roman"/>
                <w:color w:val="auto"/>
                <w:kern w:val="0"/>
                <w:sz w:val="22"/>
                <w:szCs w:val="22"/>
                <w:highlight w:val="none"/>
                <w:lang w:val="en-US" w:eastAsia="zh-CN" w:bidi="ar"/>
              </w:rPr>
              <w:t>提供《违约承诺函》并盖公章，格式自拟。不提供不得分。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81"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宋体" w:hAnsi="宋体" w:eastAsia="宋体" w:cs="宋体"/>
                <w:sz w:val="22"/>
                <w:szCs w:val="22"/>
                <w:highlight w:val="none"/>
              </w:rPr>
            </w:pPr>
            <w:r>
              <w:rPr>
                <w:rFonts w:hint="default" w:ascii="Times New Roman" w:hAnsi="Times New Roman" w:eastAsia="宋体" w:cs="Times New Roman"/>
                <w:color w:val="auto"/>
                <w:kern w:val="0"/>
                <w:sz w:val="22"/>
                <w:szCs w:val="22"/>
                <w:highlight w:val="none"/>
                <w:lang w:bidi="ar"/>
              </w:rPr>
              <w:t>同类业绩</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hint="default" w:ascii="宋体" w:hAnsi="宋体" w:eastAsia="宋体" w:cs="宋体"/>
                <w:sz w:val="22"/>
                <w:szCs w:val="22"/>
                <w:highlight w:val="none"/>
                <w:lang w:val="en-US"/>
              </w:rPr>
            </w:pPr>
            <w:r>
              <w:rPr>
                <w:rFonts w:hint="eastAsia" w:ascii="Times New Roman" w:hAnsi="Times New Roman" w:eastAsia="宋体" w:cs="Times New Roman"/>
                <w:color w:val="auto"/>
                <w:kern w:val="0"/>
                <w:sz w:val="22"/>
                <w:szCs w:val="22"/>
                <w:highlight w:val="none"/>
                <w:lang w:val="en-US" w:eastAsia="zh-CN" w:bidi="ar"/>
              </w:rPr>
              <w:t>10</w:t>
            </w:r>
          </w:p>
        </w:tc>
        <w:tc>
          <w:tcPr>
            <w:tcW w:w="4198"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kinsoku/>
              <w:overflowPunct/>
              <w:topLinePunct w:val="0"/>
              <w:autoSpaceDE/>
              <w:autoSpaceDN/>
              <w:bidi w:val="0"/>
              <w:spacing w:line="360" w:lineRule="exact"/>
              <w:jc w:val="left"/>
              <w:textAlignment w:val="top"/>
              <w:rPr>
                <w:rFonts w:hint="default" w:ascii="Times New Roman" w:hAnsi="Times New Roman" w:eastAsia="宋体" w:cs="Times New Roman"/>
                <w:color w:val="auto"/>
                <w:kern w:val="0"/>
                <w:sz w:val="22"/>
                <w:szCs w:val="22"/>
                <w:highlight w:val="none"/>
                <w:lang w:bidi="ar"/>
              </w:rPr>
            </w:pPr>
            <w:r>
              <w:rPr>
                <w:rFonts w:hint="default" w:ascii="Times New Roman" w:hAnsi="Times New Roman" w:eastAsia="宋体" w:cs="Times New Roman"/>
                <w:color w:val="auto"/>
                <w:kern w:val="0"/>
                <w:sz w:val="22"/>
                <w:szCs w:val="22"/>
                <w:highlight w:val="none"/>
                <w:lang w:bidi="ar"/>
              </w:rPr>
              <w:t>评分内容：</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20</w:t>
            </w:r>
            <w:r>
              <w:rPr>
                <w:rFonts w:hint="eastAsia" w:ascii="Times New Roman" w:hAnsi="Times New Roman" w:eastAsia="宋体" w:cs="Times New Roman"/>
                <w:color w:val="auto"/>
                <w:kern w:val="0"/>
                <w:sz w:val="22"/>
                <w:szCs w:val="22"/>
                <w:highlight w:val="none"/>
                <w:lang w:val="en-US" w:eastAsia="zh-CN" w:bidi="ar"/>
              </w:rPr>
              <w:t>20</w:t>
            </w:r>
            <w:r>
              <w:rPr>
                <w:rFonts w:hint="default" w:ascii="Times New Roman" w:hAnsi="Times New Roman" w:eastAsia="宋体" w:cs="Times New Roman"/>
                <w:color w:val="auto"/>
                <w:kern w:val="0"/>
                <w:sz w:val="22"/>
                <w:szCs w:val="22"/>
                <w:highlight w:val="none"/>
                <w:lang w:bidi="ar"/>
              </w:rPr>
              <w:t>年1月1日至本项目投标截止之日（以合同签订时间为准），投标人每提供1个同类业绩（</w:t>
            </w:r>
            <w:r>
              <w:rPr>
                <w:rFonts w:hint="eastAsia" w:ascii="Times New Roman" w:hAnsi="Times New Roman" w:eastAsia="宋体" w:cs="Times New Roman"/>
                <w:color w:val="auto"/>
                <w:kern w:val="0"/>
                <w:sz w:val="22"/>
                <w:szCs w:val="22"/>
                <w:highlight w:val="none"/>
                <w:lang w:val="en-US" w:eastAsia="zh-CN" w:bidi="ar"/>
              </w:rPr>
              <w:t>物流配送</w:t>
            </w:r>
            <w:r>
              <w:rPr>
                <w:rFonts w:hint="default" w:ascii="Times New Roman" w:hAnsi="Times New Roman" w:eastAsia="宋体" w:cs="Times New Roman"/>
                <w:color w:val="auto"/>
                <w:kern w:val="0"/>
                <w:sz w:val="22"/>
                <w:szCs w:val="22"/>
                <w:highlight w:val="none"/>
                <w:lang w:bidi="ar"/>
              </w:rPr>
              <w:t>服务</w:t>
            </w:r>
            <w:r>
              <w:rPr>
                <w:rFonts w:hint="eastAsia" w:ascii="Times New Roman" w:hAnsi="Times New Roman" w:eastAsia="宋体" w:cs="Times New Roman"/>
                <w:color w:val="auto"/>
                <w:kern w:val="0"/>
                <w:sz w:val="22"/>
                <w:szCs w:val="22"/>
                <w:highlight w:val="none"/>
                <w:lang w:val="en-US" w:eastAsia="zh-CN" w:bidi="ar"/>
              </w:rPr>
              <w:t>项目</w:t>
            </w:r>
            <w:r>
              <w:rPr>
                <w:rFonts w:hint="default" w:ascii="Times New Roman" w:hAnsi="Times New Roman" w:eastAsia="宋体" w:cs="Times New Roman"/>
                <w:color w:val="auto"/>
                <w:kern w:val="0"/>
                <w:sz w:val="22"/>
                <w:szCs w:val="22"/>
                <w:highlight w:val="none"/>
                <w:lang w:bidi="ar"/>
              </w:rPr>
              <w:t>或</w:t>
            </w:r>
            <w:r>
              <w:rPr>
                <w:rFonts w:hint="eastAsia" w:ascii="Times New Roman" w:hAnsi="Times New Roman" w:eastAsia="宋体" w:cs="Times New Roman"/>
                <w:color w:val="auto"/>
                <w:kern w:val="0"/>
                <w:sz w:val="22"/>
                <w:szCs w:val="22"/>
                <w:highlight w:val="none"/>
                <w:lang w:val="en-US" w:eastAsia="zh-CN" w:bidi="ar"/>
              </w:rPr>
              <w:t>图书馆相关运营服务</w:t>
            </w:r>
            <w:r>
              <w:rPr>
                <w:rFonts w:hint="default" w:ascii="Times New Roman" w:hAnsi="Times New Roman" w:eastAsia="宋体" w:cs="Times New Roman"/>
                <w:color w:val="auto"/>
                <w:kern w:val="0"/>
                <w:sz w:val="22"/>
                <w:szCs w:val="22"/>
                <w:highlight w:val="none"/>
                <w:lang w:bidi="ar"/>
              </w:rPr>
              <w:t>项目）得</w:t>
            </w:r>
            <w:r>
              <w:rPr>
                <w:rFonts w:hint="eastAsia" w:ascii="Times New Roman" w:hAnsi="Times New Roman" w:eastAsia="宋体" w:cs="Times New Roman"/>
                <w:color w:val="auto"/>
                <w:kern w:val="0"/>
                <w:sz w:val="22"/>
                <w:szCs w:val="22"/>
                <w:highlight w:val="none"/>
                <w:lang w:val="en-US" w:eastAsia="zh-CN" w:bidi="ar"/>
              </w:rPr>
              <w:t>5</w:t>
            </w:r>
            <w:r>
              <w:rPr>
                <w:rFonts w:hint="default" w:ascii="Times New Roman" w:hAnsi="Times New Roman" w:eastAsia="宋体" w:cs="Times New Roman"/>
                <w:color w:val="auto"/>
                <w:kern w:val="0"/>
                <w:sz w:val="22"/>
                <w:szCs w:val="22"/>
                <w:highlight w:val="none"/>
                <w:lang w:bidi="ar"/>
              </w:rPr>
              <w:t>分，最高得</w:t>
            </w:r>
            <w:r>
              <w:rPr>
                <w:rFonts w:hint="eastAsia" w:ascii="Times New Roman" w:hAnsi="Times New Roman" w:eastAsia="宋体" w:cs="Times New Roman"/>
                <w:color w:val="auto"/>
                <w:kern w:val="0"/>
                <w:sz w:val="22"/>
                <w:szCs w:val="22"/>
                <w:highlight w:val="none"/>
                <w:lang w:val="en-US" w:eastAsia="zh-CN" w:bidi="ar"/>
              </w:rPr>
              <w:t>10</w:t>
            </w:r>
            <w:r>
              <w:rPr>
                <w:rFonts w:hint="default" w:ascii="Times New Roman" w:hAnsi="Times New Roman" w:eastAsia="宋体" w:cs="Times New Roman"/>
                <w:color w:val="auto"/>
                <w:kern w:val="0"/>
                <w:sz w:val="22"/>
                <w:szCs w:val="22"/>
                <w:highlight w:val="none"/>
                <w:lang w:bidi="ar"/>
              </w:rPr>
              <w:t>分，原件备查。</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评分标准：</w:t>
            </w:r>
          </w:p>
          <w:p>
            <w:pPr>
              <w:keepNext w:val="0"/>
              <w:keepLines w:val="0"/>
              <w:pageBreakBefore w:val="0"/>
              <w:widowControl/>
              <w:kinsoku/>
              <w:overflowPunct/>
              <w:topLinePunct w:val="0"/>
              <w:autoSpaceDE/>
              <w:autoSpaceDN/>
              <w:bidi w:val="0"/>
              <w:spacing w:line="360" w:lineRule="exact"/>
              <w:jc w:val="left"/>
              <w:textAlignment w:val="center"/>
              <w:rPr>
                <w:rFonts w:ascii="宋体" w:hAnsi="宋体" w:eastAsia="宋体" w:cs="宋体"/>
                <w:sz w:val="22"/>
                <w:szCs w:val="22"/>
                <w:highlight w:val="none"/>
              </w:rPr>
            </w:pPr>
            <w:r>
              <w:rPr>
                <w:rFonts w:hint="default" w:ascii="Times New Roman" w:hAnsi="Times New Roman" w:eastAsia="宋体" w:cs="Times New Roman"/>
                <w:color w:val="auto"/>
                <w:kern w:val="0"/>
                <w:sz w:val="22"/>
                <w:szCs w:val="22"/>
                <w:highlight w:val="none"/>
                <w:lang w:bidi="ar"/>
              </w:rPr>
              <w:t>提供中标通知书或合同关键页（合同关键页应包含合同首页、合同双方签字盖章页、合同供货清单或服务内容页）扫描件。（未提供或未按要求提供或提供的不清晰导致专家无法判断的，不得分）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2"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eastAsia="宋体" w:cs="宋体"/>
                <w:color w:val="0000FF"/>
                <w:sz w:val="22"/>
                <w:szCs w:val="22"/>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ascii="宋体" w:hAnsi="宋体" w:eastAsia="宋体" w:cs="宋体"/>
                <w:sz w:val="22"/>
                <w:szCs w:val="22"/>
                <w:highlight w:val="none"/>
              </w:rPr>
            </w:pPr>
            <w:r>
              <w:rPr>
                <w:rFonts w:hint="eastAsia" w:ascii="宋体" w:hAnsi="宋体" w:eastAsia="宋体" w:cs="宋体"/>
                <w:sz w:val="22"/>
                <w:szCs w:val="22"/>
                <w:highlight w:val="none"/>
              </w:rPr>
              <w:t>4</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default" w:ascii="宋体" w:hAnsi="宋体" w:eastAsia="宋体" w:cs="宋体"/>
                <w:kern w:val="2"/>
                <w:sz w:val="22"/>
                <w:szCs w:val="22"/>
                <w:highlight w:val="none"/>
                <w:lang w:val="en-US" w:eastAsia="zh-CN"/>
              </w:rPr>
            </w:pPr>
            <w:r>
              <w:rPr>
                <w:rFonts w:hint="eastAsia" w:ascii="宋体" w:hAnsi="宋体" w:eastAsia="宋体" w:cs="宋体"/>
                <w:sz w:val="22"/>
                <w:szCs w:val="22"/>
                <w:highlight w:val="none"/>
                <w:lang w:val="en-US" w:eastAsia="zh-CN"/>
              </w:rPr>
              <w:t>服务承诺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default" w:ascii="宋体" w:hAnsi="宋体" w:eastAsia="宋体" w:cs="宋体"/>
                <w:kern w:val="2"/>
                <w:sz w:val="22"/>
                <w:szCs w:val="22"/>
                <w:highlight w:val="none"/>
                <w:lang w:val="en-US" w:eastAsia="zh-CN"/>
              </w:rPr>
            </w:pPr>
            <w:r>
              <w:rPr>
                <w:rFonts w:hint="eastAsia" w:ascii="宋体" w:hAnsi="宋体" w:eastAsia="宋体" w:cs="宋体"/>
                <w:sz w:val="22"/>
                <w:szCs w:val="22"/>
                <w:highlight w:val="none"/>
                <w:lang w:val="en-US" w:eastAsia="zh-CN"/>
              </w:rPr>
              <w:t>5</w:t>
            </w:r>
          </w:p>
        </w:tc>
        <w:tc>
          <w:tcPr>
            <w:tcW w:w="4198"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overflowPunct/>
              <w:topLinePunct w:val="0"/>
              <w:autoSpaceDE/>
              <w:autoSpaceDN/>
              <w:bidi w:val="0"/>
              <w:spacing w:line="360" w:lineRule="exact"/>
              <w:jc w:val="left"/>
              <w:textAlignment w:val="center"/>
              <w:rPr>
                <w:rFonts w:hint="eastAsia" w:ascii="Times New Roman" w:hAnsi="Times New Roman" w:eastAsia="宋体" w:cs="Times New Roman"/>
                <w:color w:val="auto"/>
                <w:kern w:val="0"/>
                <w:sz w:val="22"/>
                <w:szCs w:val="22"/>
                <w:highlight w:val="none"/>
                <w:lang w:val="en-US" w:eastAsia="zh-CN" w:bidi="ar"/>
              </w:rPr>
            </w:pPr>
            <w:r>
              <w:rPr>
                <w:rFonts w:hint="eastAsia" w:ascii="Times New Roman" w:hAnsi="Times New Roman" w:eastAsia="宋体" w:cs="Times New Roman"/>
                <w:color w:val="auto"/>
                <w:kern w:val="0"/>
                <w:sz w:val="22"/>
                <w:szCs w:val="22"/>
                <w:highlight w:val="none"/>
                <w:lang w:bidi="ar"/>
              </w:rPr>
              <w:t>投标人</w:t>
            </w:r>
            <w:r>
              <w:rPr>
                <w:rFonts w:hint="eastAsia" w:ascii="Times New Roman" w:hAnsi="Times New Roman" w:eastAsia="宋体" w:cs="Times New Roman"/>
                <w:color w:val="auto"/>
                <w:kern w:val="0"/>
                <w:sz w:val="22"/>
                <w:szCs w:val="22"/>
                <w:highlight w:val="none"/>
                <w:lang w:val="en-US" w:eastAsia="zh-CN" w:bidi="ar"/>
              </w:rPr>
              <w:t>承诺提供专职驻点客服人员≥1人的得5分；</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评分标准：</w:t>
            </w:r>
          </w:p>
          <w:p>
            <w:pPr>
              <w:pStyle w:val="4"/>
              <w:rPr>
                <w:rFonts w:hint="default" w:eastAsia="等线"/>
                <w:lang w:val="en-US" w:eastAsia="zh-CN"/>
              </w:rPr>
            </w:pPr>
            <w:r>
              <w:rPr>
                <w:rFonts w:hint="eastAsia" w:ascii="Times New Roman" w:hAnsi="Times New Roman" w:eastAsia="宋体" w:cs="Times New Roman"/>
                <w:b w:val="0"/>
                <w:bCs w:val="0"/>
                <w:color w:val="auto"/>
                <w:kern w:val="0"/>
                <w:sz w:val="22"/>
                <w:szCs w:val="22"/>
                <w:highlight w:val="none"/>
                <w:lang w:val="en-US" w:eastAsia="zh-CN" w:bidi="ar"/>
              </w:rPr>
              <w:t>提供《服务承诺函》并盖公章，格式自拟。不提供不得分。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2" w:hRule="atLeast"/>
          <w:jc w:val="center"/>
        </w:trPr>
        <w:tc>
          <w:tcPr>
            <w:tcW w:w="681" w:type="dxa"/>
            <w:vMerge w:val="continue"/>
            <w:tcBorders>
              <w:left w:val="single" w:color="000000" w:sz="8" w:space="0"/>
              <w:bottom w:val="single" w:color="000000" w:sz="8" w:space="0"/>
              <w:right w:val="single" w:color="000000" w:sz="8" w:space="0"/>
            </w:tcBorders>
            <w:vAlign w:val="center"/>
          </w:tcPr>
          <w:p>
            <w:pPr>
              <w:wordWrap w:val="0"/>
              <w:spacing w:line="360" w:lineRule="auto"/>
              <w:textAlignment w:val="top"/>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textAlignment w:val="top"/>
              <w:rPr>
                <w:rFonts w:hint="eastAsia" w:ascii="宋体" w:hAnsi="宋体" w:eastAsia="宋体" w:cs="宋体"/>
                <w:sz w:val="22"/>
                <w:szCs w:val="22"/>
                <w:highlight w:val="none"/>
              </w:rPr>
            </w:pP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诚信</w:t>
            </w:r>
            <w:r>
              <w:rPr>
                <w:rFonts w:hint="eastAsia" w:ascii="宋体" w:hAnsi="宋体" w:eastAsia="宋体" w:cs="宋体"/>
                <w:sz w:val="22"/>
                <w:szCs w:val="22"/>
                <w:highlight w:val="none"/>
                <w:lang w:val="en-US" w:eastAsia="zh-CN"/>
              </w:rPr>
              <w:t>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360" w:lineRule="auto"/>
              <w:jc w:val="center"/>
              <w:textAlignment w:val="top"/>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5</w:t>
            </w:r>
          </w:p>
        </w:tc>
        <w:tc>
          <w:tcPr>
            <w:tcW w:w="4198"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kinsoku/>
              <w:overflowPunct/>
              <w:topLinePunct w:val="0"/>
              <w:autoSpaceDE/>
              <w:autoSpaceDN/>
              <w:bidi w:val="0"/>
              <w:spacing w:line="360" w:lineRule="exact"/>
              <w:jc w:val="left"/>
              <w:textAlignment w:val="center"/>
              <w:rPr>
                <w:rFonts w:hint="eastAsia" w:ascii="Times New Roman" w:hAnsi="Times New Roman" w:eastAsia="宋体" w:cs="Times New Roman"/>
                <w:color w:val="auto"/>
                <w:kern w:val="0"/>
                <w:sz w:val="22"/>
                <w:szCs w:val="22"/>
                <w:highlight w:val="none"/>
                <w:lang w:eastAsia="zh-CN" w:bidi="ar"/>
              </w:rPr>
            </w:pPr>
            <w:r>
              <w:rPr>
                <w:rFonts w:hint="eastAsia" w:ascii="Times New Roman" w:hAnsi="Times New Roman" w:eastAsia="宋体" w:cs="Times New Roman"/>
                <w:color w:val="auto"/>
                <w:kern w:val="0"/>
                <w:sz w:val="22"/>
                <w:szCs w:val="22"/>
                <w:highlight w:val="none"/>
                <w:lang w:bidi="ar"/>
              </w:rPr>
              <w:t>投标人在参与政府采购活动中不存在诚信相关问题且不在主管部门相关处理措施实施期限内</w:t>
            </w:r>
            <w:r>
              <w:rPr>
                <w:rFonts w:hint="eastAsia" w:ascii="Times New Roman" w:hAnsi="Times New Roman" w:eastAsia="宋体" w:cs="Times New Roman"/>
                <w:color w:val="auto"/>
                <w:kern w:val="0"/>
                <w:sz w:val="22"/>
                <w:szCs w:val="22"/>
                <w:highlight w:val="none"/>
                <w:lang w:eastAsia="zh-CN" w:bidi="ar"/>
              </w:rPr>
              <w:t>；</w:t>
            </w:r>
          </w:p>
          <w:p>
            <w:pPr>
              <w:keepNext w:val="0"/>
              <w:keepLines w:val="0"/>
              <w:pageBreakBefore w:val="0"/>
              <w:widowControl/>
              <w:kinsoku/>
              <w:overflowPunct/>
              <w:topLinePunct w:val="0"/>
              <w:autoSpaceDE/>
              <w:autoSpaceDN/>
              <w:bidi w:val="0"/>
              <w:spacing w:line="360" w:lineRule="exact"/>
              <w:jc w:val="left"/>
              <w:textAlignment w:val="center"/>
              <w:rPr>
                <w:rFonts w:hint="eastAsia" w:ascii="Times New Roman" w:hAnsi="Times New Roman" w:eastAsia="宋体" w:cs="Times New Roman"/>
                <w:color w:val="auto"/>
                <w:kern w:val="0"/>
                <w:sz w:val="22"/>
                <w:szCs w:val="22"/>
                <w:highlight w:val="none"/>
                <w:lang w:val="en-US" w:eastAsia="zh-CN" w:bidi="ar"/>
              </w:rPr>
            </w:pPr>
            <w:r>
              <w:rPr>
                <w:rFonts w:hint="eastAsia" w:ascii="Times New Roman" w:hAnsi="Times New Roman" w:eastAsia="宋体" w:cs="Times New Roman"/>
                <w:color w:val="auto"/>
                <w:kern w:val="0"/>
                <w:sz w:val="22"/>
                <w:szCs w:val="22"/>
                <w:highlight w:val="none"/>
                <w:lang w:val="en-US" w:eastAsia="zh-CN" w:bidi="ar"/>
              </w:rPr>
              <w:t>评分标准：</w:t>
            </w:r>
          </w:p>
          <w:p>
            <w:pPr>
              <w:keepNext w:val="0"/>
              <w:keepLines w:val="0"/>
              <w:pageBreakBefore w:val="0"/>
              <w:widowControl/>
              <w:kinsoku/>
              <w:overflowPunct/>
              <w:topLinePunct w:val="0"/>
              <w:autoSpaceDE/>
              <w:autoSpaceDN/>
              <w:bidi w:val="0"/>
              <w:spacing w:line="360" w:lineRule="exact"/>
              <w:jc w:val="left"/>
              <w:textAlignment w:val="center"/>
              <w:rPr>
                <w:rFonts w:hint="default" w:ascii="Times New Roman" w:hAnsi="Times New Roman" w:eastAsia="宋体" w:cs="Times New Roman"/>
                <w:color w:val="auto"/>
                <w:kern w:val="0"/>
                <w:sz w:val="22"/>
                <w:szCs w:val="22"/>
                <w:highlight w:val="none"/>
                <w:lang w:val="en-US" w:eastAsia="zh-CN" w:bidi="ar"/>
              </w:rPr>
            </w:pPr>
            <w:r>
              <w:rPr>
                <w:rFonts w:hint="eastAsia" w:ascii="Times New Roman" w:hAnsi="Times New Roman" w:eastAsia="宋体" w:cs="Times New Roman"/>
                <w:color w:val="auto"/>
                <w:kern w:val="0"/>
                <w:sz w:val="22"/>
                <w:szCs w:val="22"/>
                <w:highlight w:val="none"/>
                <w:lang w:val="en-US" w:eastAsia="zh-CN" w:bidi="ar"/>
              </w:rPr>
              <w:t>提供《诚信承诺函》并盖公章，格式自拟。不提供不得分。</w:t>
            </w:r>
          </w:p>
        </w:tc>
      </w:tr>
    </w:tbl>
    <w:p>
      <w:pPr>
        <w:spacing w:line="560" w:lineRule="exact"/>
        <w:ind w:firstLine="640" w:firstLineChars="200"/>
        <w:rPr>
          <w:rFonts w:hint="eastAsia" w:ascii="楷体" w:hAnsi="楷体" w:eastAsia="楷体" w:cs="楷体"/>
          <w:color w:val="000000"/>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color w:val="auto"/>
          <w:sz w:val="32"/>
          <w:szCs w:val="32"/>
          <w:highlight w:val="none"/>
          <w:lang w:eastAsia="zh-CN"/>
        </w:rPr>
        <w:t>供应商提供资料清单</w:t>
      </w:r>
    </w:p>
    <w:p>
      <w:pPr>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2"/>
        <w:ind w:left="0" w:leftChars="0" w:right="1470"/>
        <w:rPr>
          <w:rFonts w:hint="eastAsia" w:eastAsia="仿宋_GB2312"/>
          <w:highlight w:val="none"/>
          <w:lang w:eastAsia="zh-CN"/>
        </w:rPr>
      </w:pPr>
      <w:r>
        <w:rPr>
          <w:rFonts w:hint="eastAsia" w:ascii="仿宋_GB2312" w:hAnsi="仿宋" w:eastAsia="仿宋_GB2312"/>
          <w:sz w:val="32"/>
          <w:highlight w:val="none"/>
        </w:rPr>
        <w:t xml:space="preserve">    2.法定代表人身份证复印件（加盖公章）</w:t>
      </w:r>
      <w:r>
        <w:rPr>
          <w:rFonts w:hint="eastAsia" w:ascii="仿宋_GB2312" w:hAnsi="仿宋" w:eastAsia="仿宋_GB2312"/>
          <w:sz w:val="32"/>
          <w:highlight w:val="none"/>
          <w:lang w:eastAsia="zh-CN"/>
        </w:rPr>
        <w:t>；</w:t>
      </w:r>
    </w:p>
    <w:p>
      <w:pPr>
        <w:pStyle w:val="2"/>
        <w:ind w:left="0" w:leftChars="0" w:right="1470" w:firstLine="640"/>
        <w:rPr>
          <w:rFonts w:hint="eastAsia" w:ascii="仿宋_GB2312" w:hAnsi="仿宋" w:eastAsia="仿宋_GB2312"/>
          <w:sz w:val="32"/>
          <w:highlight w:val="none"/>
          <w:lang w:eastAsia="zh-CN"/>
        </w:rPr>
      </w:pPr>
      <w:r>
        <w:rPr>
          <w:rFonts w:hint="eastAsia" w:ascii="仿宋_GB2312" w:hAnsi="仿宋" w:eastAsia="仿宋_GB2312"/>
          <w:sz w:val="32"/>
          <w:highlight w:val="none"/>
        </w:rPr>
        <w:t>3.项目报价清单（加盖公章）</w:t>
      </w:r>
      <w:r>
        <w:rPr>
          <w:rFonts w:hint="eastAsia" w:ascii="仿宋_GB2312" w:hAnsi="仿宋" w:eastAsia="仿宋_GB2312"/>
          <w:sz w:val="32"/>
          <w:highlight w:val="none"/>
          <w:lang w:eastAsia="zh-CN"/>
        </w:rPr>
        <w:t>；</w:t>
      </w:r>
    </w:p>
    <w:p>
      <w:pPr>
        <w:spacing w:line="560" w:lineRule="exact"/>
        <w:ind w:firstLine="640" w:firstLineChars="200"/>
        <w:rPr>
          <w:rFonts w:hint="default"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4.评分规则所需资料（包含同类业绩证明、方案、证书等，加盖公章）。</w:t>
      </w:r>
    </w:p>
    <w:p>
      <w:pPr>
        <w:pStyle w:val="2"/>
        <w:spacing w:after="0" w:line="240" w:lineRule="auto"/>
        <w:ind w:left="0" w:leftChars="0" w:right="0" w:rightChars="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份密封纸质版投标资料至本单位</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地址：深圳市龙华区</w:t>
      </w:r>
      <w:r>
        <w:rPr>
          <w:rFonts w:hint="eastAsia" w:ascii="仿宋_GB2312" w:hAnsi="仿宋_GB2312" w:eastAsia="仿宋_GB2312" w:cs="仿宋_GB2312"/>
          <w:sz w:val="32"/>
          <w:szCs w:val="32"/>
          <w:highlight w:val="none"/>
          <w:lang w:val="en-US" w:eastAsia="zh-CN"/>
        </w:rPr>
        <w:t>维雅德大厦富康行政办公区</w:t>
      </w:r>
    </w:p>
    <w:p>
      <w:pPr>
        <w:pStyle w:val="2"/>
        <w:spacing w:line="560" w:lineRule="exact"/>
        <w:ind w:left="0" w:leftChars="0" w:right="1470"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0755-23338140</w:t>
      </w:r>
    </w:p>
    <w:p>
      <w:pPr>
        <w:pStyle w:val="2"/>
        <w:spacing w:line="560" w:lineRule="exact"/>
        <w:ind w:left="0" w:leftChars="0" w:right="1470" w:firstLine="640"/>
        <w:rPr>
          <w:rFonts w:hint="eastAsia" w:ascii="仿宋_GB2312" w:hAnsi="仿宋" w:eastAsia="仿宋_GB2312"/>
          <w:color w:val="FF0000"/>
          <w:sz w:val="32"/>
          <w:highlight w:val="none"/>
          <w:lang w:val="en-US" w:eastAsia="zh-CN"/>
        </w:rPr>
      </w:pPr>
      <w:r>
        <w:rPr>
          <w:rFonts w:hint="eastAsia" w:ascii="仿宋_GB2312" w:hAnsi="仿宋_GB2312" w:eastAsia="仿宋_GB2312" w:cs="仿宋_GB2312"/>
          <w:sz w:val="32"/>
          <w:szCs w:val="32"/>
          <w:highlight w:val="none"/>
        </w:rPr>
        <w:t>收件人：吴</w:t>
      </w:r>
      <w:r>
        <w:rPr>
          <w:rFonts w:hint="eastAsia" w:ascii="仿宋_GB2312" w:hAnsi="仿宋_GB2312" w:eastAsia="仿宋_GB2312" w:cs="仿宋_GB2312"/>
          <w:sz w:val="32"/>
          <w:szCs w:val="32"/>
          <w:highlight w:val="none"/>
          <w:lang w:val="en-US" w:eastAsia="zh-CN"/>
        </w:rPr>
        <w:t>先生</w:t>
      </w:r>
    </w:p>
    <w:p>
      <w:pPr>
        <w:pStyle w:val="2"/>
        <w:keepNext w:val="0"/>
        <w:keepLines w:val="0"/>
        <w:pageBreakBefore w:val="0"/>
        <w:kinsoku/>
        <w:wordWrap/>
        <w:overflowPunct/>
        <w:topLinePunct w:val="0"/>
        <w:autoSpaceDE/>
        <w:autoSpaceDN/>
        <w:bidi w:val="0"/>
        <w:spacing w:beforeAutospacing="0" w:afterAutospacing="0" w:line="560" w:lineRule="exact"/>
        <w:ind w:left="0" w:leftChars="0" w:right="1470" w:firstLine="640"/>
        <w:rPr>
          <w:rFonts w:hint="eastAsia" w:ascii="仿宋_GB2312" w:hAnsi="等线" w:eastAsia="仿宋_GB2312" w:cs="Times New Roman"/>
          <w:color w:val="000000"/>
          <w:kern w:val="2"/>
          <w:sz w:val="32"/>
          <w:szCs w:val="32"/>
          <w:lang w:val="en-US" w:eastAsia="zh-CN" w:bidi="ar-SA"/>
        </w:rPr>
        <w:sectPr>
          <w:footerReference r:id="rId3" w:type="default"/>
          <w:pgSz w:w="11906" w:h="16838"/>
          <w:pgMar w:top="2098" w:right="1474" w:bottom="1984" w:left="1587" w:header="851" w:footer="992" w:gutter="0"/>
          <w:cols w:space="720" w:num="1"/>
          <w:docGrid w:type="lines" w:linePitch="312" w:charSpace="0"/>
        </w:sectPr>
      </w:pPr>
    </w:p>
    <w:p>
      <w:pPr>
        <w:pStyle w:val="2"/>
        <w:ind w:left="0" w:leftChars="0" w:firstLine="0" w:firstLineChars="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附件一：项目预算表</w:t>
      </w:r>
    </w:p>
    <w:tbl>
      <w:tblPr>
        <w:tblStyle w:val="12"/>
        <w:tblW w:w="12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8"/>
        <w:gridCol w:w="1762"/>
        <w:gridCol w:w="2859"/>
        <w:gridCol w:w="1668"/>
        <w:gridCol w:w="1293"/>
        <w:gridCol w:w="1519"/>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21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r>
              <w:rPr>
                <w:rFonts w:hint="eastAsia" w:ascii="宋体" w:hAnsi="宋体" w:eastAsia="宋体" w:cs="宋体"/>
                <w:b/>
                <w:bCs/>
                <w:i w:val="0"/>
                <w:iCs w:val="0"/>
                <w:color w:val="000000"/>
                <w:kern w:val="0"/>
                <w:sz w:val="28"/>
                <w:szCs w:val="28"/>
                <w:u w:val="none"/>
                <w:lang w:val="en-US" w:eastAsia="zh-CN" w:bidi="ar"/>
              </w:rPr>
              <w:t>20台自助图书机物流运营费用测算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859" w:type="dxa"/>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项目明细</w:t>
            </w:r>
          </w:p>
        </w:tc>
        <w:tc>
          <w:tcPr>
            <w:tcW w:w="1668" w:type="dxa"/>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单价（元）/台/月</w:t>
            </w:r>
          </w:p>
        </w:tc>
        <w:tc>
          <w:tcPr>
            <w:tcW w:w="1293" w:type="dxa"/>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数量（台）</w:t>
            </w:r>
          </w:p>
        </w:tc>
        <w:tc>
          <w:tcPr>
            <w:tcW w:w="1519" w:type="dxa"/>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时长</w:t>
            </w:r>
          </w:p>
        </w:tc>
        <w:tc>
          <w:tcPr>
            <w:tcW w:w="1531" w:type="dxa"/>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物流配送费用</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物资配送及打包</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 xml:space="preserve">600.00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车辆及其他费用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 xml:space="preserve">420.00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文献分拣及转运费</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 xml:space="preserve">800.00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 xml:space="preserve">20.00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资源监控及现场核查费</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车辆及其他费用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4"/>
                <w:szCs w:val="24"/>
                <w:u w:val="none"/>
              </w:rPr>
            </w:pPr>
            <w:r>
              <w:rPr>
                <w:rFonts w:hint="default" w:ascii="Arial Narrow" w:hAnsi="Arial Narrow" w:eastAsia="Arial Narrow" w:cs="Arial Narrow"/>
                <w:i w:val="0"/>
                <w:iCs w:val="0"/>
                <w:color w:val="000000"/>
                <w:kern w:val="0"/>
                <w:sz w:val="24"/>
                <w:szCs w:val="24"/>
                <w:u w:val="none"/>
                <w:lang w:val="en-US" w:eastAsia="zh-CN" w:bidi="ar"/>
              </w:rPr>
              <w:t xml:space="preserve">400.00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0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客服及运营人员费用（人数</w:t>
            </w:r>
            <w:r>
              <w:rPr>
                <w:rStyle w:val="32"/>
                <w:rFonts w:eastAsia="宋体"/>
                <w:lang w:val="en-US" w:eastAsia="zh-CN" w:bidi="ar"/>
              </w:rPr>
              <w:t>≥</w:t>
            </w:r>
            <w:r>
              <w:rPr>
                <w:rFonts w:hint="eastAsia" w:ascii="宋体" w:hAnsi="宋体" w:eastAsia="宋体" w:cs="宋体"/>
                <w:i w:val="0"/>
                <w:iCs w:val="0"/>
                <w:color w:val="000000"/>
                <w:kern w:val="0"/>
                <w:sz w:val="24"/>
                <w:szCs w:val="24"/>
                <w:u w:val="none"/>
                <w:lang w:val="en-US" w:eastAsia="zh-CN" w:bidi="ar"/>
              </w:rPr>
              <w:t>2人，其中至少有1人驻场办公。建立7*24小时客服反馈渠道，处理读者投诉及咨询；对自助图书机业务数据统计、分析；运营策略制定及调整）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图书仓储费（读者还回外馆图书暂存中转，外馆预借文献调剂）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963000</w:t>
            </w:r>
          </w:p>
        </w:tc>
      </w:tr>
      <w:bookmarkEnd w:id="0"/>
    </w:tbl>
    <w:p>
      <w:pPr>
        <w:pStyle w:val="2"/>
        <w:keepNext w:val="0"/>
        <w:keepLines w:val="0"/>
        <w:pageBreakBefore w:val="0"/>
        <w:kinsoku/>
        <w:wordWrap/>
        <w:overflowPunct/>
        <w:topLinePunct w:val="0"/>
        <w:autoSpaceDE/>
        <w:autoSpaceDN/>
        <w:bidi w:val="0"/>
        <w:spacing w:beforeAutospacing="0" w:afterAutospacing="0" w:line="560" w:lineRule="exact"/>
        <w:ind w:left="0" w:leftChars="0" w:right="1470" w:firstLine="0" w:firstLineChars="0"/>
        <w:rPr>
          <w:rFonts w:hint="eastAsia" w:ascii="仿宋_GB2312" w:hAnsi="等线" w:eastAsia="仿宋_GB2312" w:cs="Times New Roman"/>
          <w:color w:val="000000"/>
          <w:kern w:val="2"/>
          <w:sz w:val="32"/>
          <w:szCs w:val="32"/>
          <w:lang w:val="en-US" w:eastAsia="zh-CN" w:bidi="ar-SA"/>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61976"/>
    <w:multiLevelType w:val="singleLevel"/>
    <w:tmpl w:val="CA961976"/>
    <w:lvl w:ilvl="0" w:tentative="0">
      <w:start w:val="1"/>
      <w:numFmt w:val="decimal"/>
      <w:suff w:val="nothing"/>
      <w:lvlText w:val="%1、"/>
      <w:lvlJc w:val="left"/>
    </w:lvl>
  </w:abstractNum>
  <w:abstractNum w:abstractNumId="1">
    <w:nsid w:val="F55E5C48"/>
    <w:multiLevelType w:val="singleLevel"/>
    <w:tmpl w:val="F55E5C48"/>
    <w:lvl w:ilvl="0" w:tentative="0">
      <w:start w:val="1"/>
      <w:numFmt w:val="decimal"/>
      <w:suff w:val="nothing"/>
      <w:lvlText w:val="%1、"/>
      <w:lvlJc w:val="left"/>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7"/>
      <w:numFmt w:val="chineseCounting"/>
      <w:suff w:val="nothing"/>
      <w:lvlText w:val="%1、"/>
      <w:lvlJc w:val="left"/>
      <w:rPr>
        <w:rFonts w:hint="eastAsia"/>
      </w:rPr>
    </w:lvl>
  </w:abstractNum>
  <w:abstractNum w:abstractNumId="4">
    <w:nsid w:val="2253C348"/>
    <w:multiLevelType w:val="singleLevel"/>
    <w:tmpl w:val="2253C34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WRlY2FhNGM3YjNjYWVjZDY1ODAyNGZiMmZiZjkifQ=="/>
  </w:docVars>
  <w:rsids>
    <w:rsidRoot w:val="00000000"/>
    <w:rsid w:val="002D7DB6"/>
    <w:rsid w:val="04D17976"/>
    <w:rsid w:val="09991E4D"/>
    <w:rsid w:val="0CE03B39"/>
    <w:rsid w:val="0EE42745"/>
    <w:rsid w:val="152D13F6"/>
    <w:rsid w:val="15932C7E"/>
    <w:rsid w:val="17392A2A"/>
    <w:rsid w:val="17914CA3"/>
    <w:rsid w:val="1D146D68"/>
    <w:rsid w:val="1F65476C"/>
    <w:rsid w:val="217E3A3C"/>
    <w:rsid w:val="253379E5"/>
    <w:rsid w:val="26AD7FB0"/>
    <w:rsid w:val="2CB745EA"/>
    <w:rsid w:val="2D1619EC"/>
    <w:rsid w:val="2D8D4E1A"/>
    <w:rsid w:val="328208EE"/>
    <w:rsid w:val="343C159A"/>
    <w:rsid w:val="35F47413"/>
    <w:rsid w:val="36CF11A0"/>
    <w:rsid w:val="39146928"/>
    <w:rsid w:val="3A1E5ACC"/>
    <w:rsid w:val="3AA543D1"/>
    <w:rsid w:val="40996C84"/>
    <w:rsid w:val="418662D0"/>
    <w:rsid w:val="46D54246"/>
    <w:rsid w:val="475865BF"/>
    <w:rsid w:val="483F24B0"/>
    <w:rsid w:val="4A537A00"/>
    <w:rsid w:val="535B7BE1"/>
    <w:rsid w:val="5A9D3D1C"/>
    <w:rsid w:val="5AEA41BA"/>
    <w:rsid w:val="5F214BCD"/>
    <w:rsid w:val="5FE714A3"/>
    <w:rsid w:val="62A35132"/>
    <w:rsid w:val="632458F7"/>
    <w:rsid w:val="66B86D54"/>
    <w:rsid w:val="696379FC"/>
    <w:rsid w:val="6C185B13"/>
    <w:rsid w:val="6D0A477B"/>
    <w:rsid w:val="73AD1C57"/>
    <w:rsid w:val="767A1838"/>
    <w:rsid w:val="7A1E0725"/>
    <w:rsid w:val="7C521476"/>
    <w:rsid w:val="7E26624C"/>
    <w:rsid w:val="7E8338F0"/>
    <w:rsid w:val="F7F7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b/>
      <w:bCs/>
      <w:sz w:val="24"/>
    </w:rPr>
  </w:style>
  <w:style w:type="paragraph" w:styleId="5">
    <w:name w:val="Body Text Indent"/>
    <w:basedOn w:val="1"/>
    <w:next w:val="6"/>
    <w:qFormat/>
    <w:uiPriority w:val="99"/>
    <w:pPr>
      <w:spacing w:line="360" w:lineRule="auto"/>
      <w:ind w:firstLine="420" w:firstLineChars="200"/>
    </w:pPr>
    <w:rPr>
      <w:rFonts w:ascii="Calibri" w:hAnsi="Calibri"/>
    </w:rPr>
  </w:style>
  <w:style w:type="paragraph" w:styleId="6">
    <w:name w:val="envelope return"/>
    <w:basedOn w:val="1"/>
    <w:qFormat/>
    <w:uiPriority w:val="99"/>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eastAsia="宋体"/>
      <w:b/>
      <w:bCs/>
      <w:sz w:val="32"/>
      <w:szCs w:val="32"/>
    </w:rPr>
  </w:style>
  <w:style w:type="paragraph" w:styleId="11">
    <w:name w:val="Body Text First Indent 2"/>
    <w:basedOn w:val="5"/>
    <w:next w:val="1"/>
    <w:qFormat/>
    <w:uiPriority w:val="99"/>
    <w:pPr>
      <w:spacing w:after="120" w:line="240" w:lineRule="auto"/>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000000"/>
      <w:u w:val="none"/>
    </w:rPr>
  </w:style>
  <w:style w:type="character" w:styleId="16">
    <w:name w:val="Emphasis"/>
    <w:basedOn w:val="14"/>
    <w:qFormat/>
    <w:uiPriority w:val="0"/>
    <w:rPr>
      <w:sz w:val="22"/>
      <w:szCs w:val="22"/>
    </w:rPr>
  </w:style>
  <w:style w:type="character" w:styleId="17">
    <w:name w:val="Hyperlink"/>
    <w:basedOn w:val="14"/>
    <w:qFormat/>
    <w:uiPriority w:val="0"/>
    <w:rPr>
      <w:color w:val="000000"/>
      <w:u w:val="none"/>
    </w:rPr>
  </w:style>
  <w:style w:type="character" w:styleId="18">
    <w:name w:val="annotation reference"/>
    <w:basedOn w:val="14"/>
    <w:qFormat/>
    <w:uiPriority w:val="0"/>
    <w:rPr>
      <w:sz w:val="21"/>
      <w:szCs w:val="21"/>
    </w:rPr>
  </w:style>
  <w:style w:type="character" w:customStyle="1" w:styleId="19">
    <w:name w:val="treeicon"/>
    <w:basedOn w:val="14"/>
    <w:qFormat/>
    <w:uiPriority w:val="0"/>
  </w:style>
  <w:style w:type="character" w:customStyle="1" w:styleId="20">
    <w:name w:val="hover48"/>
    <w:basedOn w:val="14"/>
    <w:qFormat/>
    <w:uiPriority w:val="0"/>
    <w:rPr>
      <w:color w:val="FFFFFF"/>
      <w:shd w:val="clear" w:color="auto" w:fill="1091DB"/>
    </w:rPr>
  </w:style>
  <w:style w:type="character" w:customStyle="1" w:styleId="21">
    <w:name w:val="hover49"/>
    <w:basedOn w:val="14"/>
    <w:qFormat/>
    <w:uiPriority w:val="0"/>
    <w:rPr>
      <w:color w:val="FFFFFF"/>
      <w:shd w:val="clear" w:color="auto" w:fill="1091DB"/>
    </w:rPr>
  </w:style>
  <w:style w:type="character" w:customStyle="1" w:styleId="22">
    <w:name w:val="hover50"/>
    <w:basedOn w:val="14"/>
    <w:qFormat/>
    <w:uiPriority w:val="0"/>
    <w:rPr>
      <w:sz w:val="21"/>
      <w:szCs w:val="21"/>
    </w:rPr>
  </w:style>
  <w:style w:type="paragraph" w:customStyle="1" w:styleId="23">
    <w:name w:val="USE 1"/>
    <w:basedOn w:val="1"/>
    <w:qFormat/>
    <w:uiPriority w:val="0"/>
    <w:pPr>
      <w:spacing w:line="200" w:lineRule="atLeast"/>
      <w:jc w:val="left"/>
    </w:pPr>
    <w:rPr>
      <w:rFonts w:ascii="宋体" w:hAnsi="宋体"/>
      <w:b/>
      <w:sz w:val="24"/>
      <w:szCs w:val="28"/>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customStyle="1" w:styleId="25">
    <w:name w:val="List Paragraph*"/>
    <w:basedOn w:val="1"/>
    <w:qFormat/>
    <w:uiPriority w:val="0"/>
    <w:pPr>
      <w:ind w:firstLine="420"/>
    </w:pPr>
    <w:rPr>
      <w:color w:val="000000"/>
      <w:kern w:val="1"/>
      <w:szCs w:val="24"/>
    </w:rPr>
  </w:style>
  <w:style w:type="table" w:customStyle="1" w:styleId="26">
    <w:name w:val="Table Normal"/>
    <w:qFormat/>
    <w:uiPriority w:val="0"/>
    <w:tblPr>
      <w:tblCellMar>
        <w:top w:w="0" w:type="dxa"/>
        <w:left w:w="0" w:type="dxa"/>
        <w:bottom w:w="0" w:type="dxa"/>
        <w:right w:w="0" w:type="dxa"/>
      </w:tblCellMar>
    </w:tblPr>
  </w:style>
  <w:style w:type="character" w:customStyle="1" w:styleId="27">
    <w:name w:val="font71"/>
    <w:basedOn w:val="14"/>
    <w:qFormat/>
    <w:uiPriority w:val="0"/>
    <w:rPr>
      <w:rFonts w:hint="eastAsia" w:ascii="宋体" w:hAnsi="宋体" w:eastAsia="宋体" w:cs="宋体"/>
      <w:b/>
      <w:bCs/>
      <w:color w:val="00FF00"/>
      <w:sz w:val="20"/>
      <w:szCs w:val="20"/>
      <w:u w:val="none"/>
    </w:rPr>
  </w:style>
  <w:style w:type="character" w:customStyle="1" w:styleId="28">
    <w:name w:val="页眉 Char"/>
    <w:basedOn w:val="14"/>
    <w:link w:val="8"/>
    <w:qFormat/>
    <w:uiPriority w:val="0"/>
    <w:rPr>
      <w:rFonts w:ascii="等线" w:hAnsi="等线" w:eastAsia="等线"/>
      <w:kern w:val="2"/>
      <w:sz w:val="18"/>
      <w:szCs w:val="18"/>
    </w:rPr>
  </w:style>
  <w:style w:type="paragraph" w:customStyle="1" w:styleId="29">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cf01"/>
    <w:basedOn w:val="14"/>
    <w:qFormat/>
    <w:uiPriority w:val="0"/>
    <w:rPr>
      <w:rFonts w:hint="eastAsia" w:ascii="Microsoft YaHei UI" w:hAnsi="Microsoft YaHei UI" w:eastAsia="Microsoft YaHei UI"/>
      <w:sz w:val="18"/>
      <w:szCs w:val="18"/>
    </w:rPr>
  </w:style>
  <w:style w:type="paragraph" w:styleId="31">
    <w:name w:val="List Paragraph"/>
    <w:basedOn w:val="1"/>
    <w:qFormat/>
    <w:uiPriority w:val="34"/>
    <w:pPr>
      <w:ind w:firstLine="420" w:firstLineChars="200"/>
    </w:pPr>
    <w:rPr>
      <w:rFonts w:ascii="Calibri" w:hAnsi="Calibri" w:eastAsia="宋体" w:cs="宋体"/>
    </w:rPr>
  </w:style>
  <w:style w:type="character" w:customStyle="1" w:styleId="32">
    <w:name w:val="font01"/>
    <w:basedOn w:val="14"/>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4130</Words>
  <Characters>4428</Characters>
  <Paragraphs>211</Paragraphs>
  <TotalTime>2</TotalTime>
  <ScaleCrop>false</ScaleCrop>
  <LinksUpToDate>false</LinksUpToDate>
  <CharactersWithSpaces>4445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2022-11-03T13:49:00Z</dcterms:created>
  <dc:creator>006</dc:creator>
  <cp:lastModifiedBy>李浩鹏</cp:lastModifiedBy>
  <cp:lastPrinted>2022-02-23T20:17:00Z</cp:lastPrinted>
  <dcterms:modified xsi:type="dcterms:W3CDTF">2024-02-22T06:58:22Z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CCD68D52423B326B23A1D5652A064EC3</vt:lpwstr>
  </property>
</Properties>
</file>