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微软雅黑" w:asciiTheme="minorEastAsia" w:hAnsiTheme="minorEastAsia"/>
          <w:b/>
          <w:sz w:val="28"/>
        </w:rPr>
      </w:pPr>
    </w:p>
    <w:p>
      <w:pPr>
        <w:spacing w:line="720" w:lineRule="auto"/>
        <w:jc w:val="center"/>
        <w:rPr>
          <w:rFonts w:hint="eastAsia" w:cs="微软雅黑" w:asciiTheme="minorEastAsia" w:hAnsiTheme="minorEastAsia"/>
          <w:b/>
          <w:sz w:val="44"/>
        </w:rPr>
      </w:pPr>
      <w:r>
        <w:rPr>
          <w:rFonts w:hint="eastAsia" w:cs="微软雅黑" w:asciiTheme="minorEastAsia" w:hAnsiTheme="minorEastAsia"/>
          <w:b/>
          <w:sz w:val="44"/>
        </w:rPr>
        <w:t>九龙山体育公园2024</w:t>
      </w:r>
      <w:r>
        <w:rPr>
          <w:rFonts w:hint="eastAsia" w:cs="微软雅黑" w:asciiTheme="minorEastAsia" w:hAnsiTheme="minorEastAsia"/>
          <w:b/>
          <w:sz w:val="44"/>
          <w:lang w:val="en-US" w:eastAsia="zh-CN"/>
        </w:rPr>
        <w:t>-2025</w:t>
      </w:r>
      <w:r>
        <w:rPr>
          <w:rFonts w:hint="eastAsia" w:cs="微软雅黑" w:asciiTheme="minorEastAsia" w:hAnsiTheme="minorEastAsia"/>
          <w:b/>
          <w:sz w:val="44"/>
        </w:rPr>
        <w:t>年度</w:t>
      </w:r>
    </w:p>
    <w:p>
      <w:pPr>
        <w:spacing w:line="720" w:lineRule="auto"/>
        <w:jc w:val="center"/>
        <w:rPr>
          <w:rFonts w:hint="eastAsia" w:cs="微软雅黑" w:asciiTheme="minorEastAsia" w:hAnsiTheme="minorEastAsia" w:eastAsiaTheme="minorEastAsia"/>
          <w:b/>
          <w:sz w:val="44"/>
          <w:lang w:eastAsia="zh-CN"/>
        </w:rPr>
      </w:pPr>
      <w:bookmarkStart w:id="0" w:name="_GoBack"/>
      <w:bookmarkEnd w:id="0"/>
      <w:r>
        <w:rPr>
          <w:rFonts w:hint="eastAsia" w:cs="微软雅黑" w:asciiTheme="minorEastAsia" w:hAnsiTheme="minorEastAsia"/>
          <w:b/>
          <w:sz w:val="44"/>
        </w:rPr>
        <w:t>财产一切险</w:t>
      </w:r>
      <w:r>
        <w:rPr>
          <w:rFonts w:hint="eastAsia" w:cs="微软雅黑" w:asciiTheme="minorEastAsia" w:hAnsiTheme="minorEastAsia"/>
          <w:b/>
          <w:sz w:val="44"/>
          <w:lang w:eastAsia="zh-CN"/>
        </w:rPr>
        <w:t>需求明细</w:t>
      </w:r>
    </w:p>
    <w:tbl>
      <w:tblPr>
        <w:tblStyle w:val="9"/>
        <w:tblpPr w:leftFromText="180" w:rightFromText="180" w:vertAnchor="text" w:horzAnchor="margin" w:tblpXSpec="center"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Borders>
              <w:left w:val="single" w:color="auto" w:sz="4" w:space="0"/>
              <w:right w:val="single" w:color="auto" w:sz="4" w:space="0"/>
            </w:tcBorders>
            <w:shd w:val="clear" w:color="auto" w:fill="auto"/>
            <w:vAlign w:val="center"/>
          </w:tcPr>
          <w:p>
            <w:pPr>
              <w:tabs>
                <w:tab w:val="left" w:pos="2100"/>
                <w:tab w:val="left" w:pos="8820"/>
              </w:tabs>
              <w:adjustRightInd w:val="0"/>
              <w:snapToGrid w:val="0"/>
              <w:spacing w:line="500" w:lineRule="exact"/>
              <w:rPr>
                <w:rFonts w:cs="微软雅黑" w:asciiTheme="minorEastAsia" w:hAnsiTheme="minorEastAsia"/>
                <w:b/>
              </w:rPr>
            </w:pPr>
            <w:r>
              <w:rPr>
                <w:rFonts w:cs="微软雅黑" w:asciiTheme="minorEastAsia" w:hAnsiTheme="minorEastAsia"/>
                <w:b/>
              </w:rPr>
              <w:t>限额约定</w:t>
            </w:r>
          </w:p>
        </w:tc>
        <w:tc>
          <w:tcPr>
            <w:tcW w:w="7796" w:type="dxa"/>
            <w:tcBorders>
              <w:top w:val="single" w:color="auto" w:sz="4" w:space="0"/>
              <w:left w:val="single" w:color="auto" w:sz="4" w:space="0"/>
              <w:right w:val="single" w:color="auto" w:sz="4" w:space="0"/>
            </w:tcBorders>
            <w:shd w:val="clear" w:color="auto" w:fill="auto"/>
            <w:vAlign w:val="center"/>
          </w:tcPr>
          <w:p>
            <w:pPr>
              <w:tabs>
                <w:tab w:val="center" w:pos="1800"/>
                <w:tab w:val="left" w:pos="2340"/>
              </w:tabs>
              <w:adjustRightInd w:val="0"/>
              <w:snapToGrid w:val="0"/>
              <w:spacing w:line="500" w:lineRule="exact"/>
              <w:rPr>
                <w:rFonts w:asciiTheme="minorEastAsia" w:hAnsiTheme="minorEastAsia"/>
              </w:rPr>
            </w:pPr>
            <w:r>
              <w:rPr>
                <w:rFonts w:hint="eastAsia" w:asciiTheme="minorEastAsia" w:hAnsiTheme="minorEastAsia"/>
              </w:rPr>
              <w:t>限额描述：1.本保险对特别费用扩展条款每次事故赔偿限额为损失金额的10%。</w:t>
            </w:r>
          </w:p>
          <w:p>
            <w:pPr>
              <w:tabs>
                <w:tab w:val="center" w:pos="1800"/>
                <w:tab w:val="left" w:pos="2340"/>
              </w:tabs>
              <w:adjustRightInd w:val="0"/>
              <w:snapToGrid w:val="0"/>
              <w:spacing w:line="500" w:lineRule="exact"/>
              <w:rPr>
                <w:rFonts w:asciiTheme="minorEastAsia" w:hAnsiTheme="minorEastAsia"/>
              </w:rPr>
            </w:pPr>
            <w:r>
              <w:rPr>
                <w:rFonts w:hint="eastAsia" w:asciiTheme="minorEastAsia" w:hAnsiTheme="minorEastAsia"/>
              </w:rPr>
              <w:t>2.本保险对清理残骸费用扩展条款每次事故赔偿限额为损失金额的10%。</w:t>
            </w:r>
          </w:p>
          <w:p>
            <w:pPr>
              <w:tabs>
                <w:tab w:val="center" w:pos="1800"/>
                <w:tab w:val="left" w:pos="2340"/>
              </w:tabs>
              <w:adjustRightInd w:val="0"/>
              <w:snapToGrid w:val="0"/>
              <w:spacing w:line="500" w:lineRule="exact"/>
              <w:rPr>
                <w:rFonts w:asciiTheme="minorEastAsia" w:hAnsiTheme="minorEastAsia"/>
              </w:rPr>
            </w:pPr>
            <w:r>
              <w:rPr>
                <w:rFonts w:hint="eastAsia" w:asciiTheme="minorEastAsia" w:hAnsiTheme="minorEastAsia"/>
              </w:rPr>
              <w:t>3.本保险对灭火费用扩展条款B每次事故赔偿限额为损失金额的10%。</w:t>
            </w:r>
          </w:p>
          <w:p>
            <w:pPr>
              <w:tabs>
                <w:tab w:val="center" w:pos="1800"/>
                <w:tab w:val="left" w:pos="2340"/>
              </w:tabs>
              <w:adjustRightInd w:val="0"/>
              <w:snapToGrid w:val="0"/>
              <w:spacing w:line="500" w:lineRule="exact"/>
              <w:rPr>
                <w:rFonts w:asciiTheme="minorEastAsia" w:hAnsiTheme="minorEastAsia"/>
              </w:rPr>
            </w:pPr>
            <w:r>
              <w:rPr>
                <w:rFonts w:hint="eastAsia" w:asciiTheme="minorEastAsia" w:hAnsiTheme="minorEastAsia"/>
              </w:rPr>
              <w:t>4.本保险对消防队灭火费用扩展条款每次事故赔偿限额为损失金额的10%。</w:t>
            </w:r>
          </w:p>
          <w:p>
            <w:pPr>
              <w:tabs>
                <w:tab w:val="center" w:pos="1800"/>
                <w:tab w:val="left" w:pos="2340"/>
              </w:tabs>
              <w:adjustRightInd w:val="0"/>
              <w:snapToGrid w:val="0"/>
              <w:spacing w:line="500" w:lineRule="exact"/>
              <w:rPr>
                <w:rFonts w:asciiTheme="minorEastAsia" w:hAnsiTheme="minorEastAsia"/>
              </w:rPr>
            </w:pPr>
            <w:r>
              <w:rPr>
                <w:rFonts w:hint="eastAsia" w:asciiTheme="minorEastAsia" w:hAnsiTheme="minorEastAsia"/>
              </w:rPr>
              <w:t>5.本保险对专业费用扩展条款每次事故赔偿限额为损失金额的10%。</w:t>
            </w:r>
          </w:p>
          <w:p>
            <w:pPr>
              <w:tabs>
                <w:tab w:val="center" w:pos="1800"/>
                <w:tab w:val="left" w:pos="2340"/>
              </w:tabs>
              <w:adjustRightInd w:val="0"/>
              <w:snapToGrid w:val="0"/>
              <w:spacing w:line="500" w:lineRule="exact"/>
              <w:rPr>
                <w:rFonts w:asciiTheme="minorEastAsia" w:hAnsiTheme="minorEastAsia"/>
              </w:rPr>
            </w:pPr>
            <w:r>
              <w:rPr>
                <w:rFonts w:hint="eastAsia" w:asciiTheme="minorEastAsia" w:hAnsiTheme="minorEastAsia"/>
              </w:rPr>
              <w:t>6.本保险对玻璃破碎扩展条款累计赔偿限额为人民币100000元。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100"/>
                <w:tab w:val="left" w:pos="8820"/>
              </w:tabs>
              <w:adjustRightInd w:val="0"/>
              <w:snapToGrid w:val="0"/>
              <w:spacing w:line="500" w:lineRule="exact"/>
              <w:rPr>
                <w:rFonts w:cs="微软雅黑" w:asciiTheme="minorEastAsia" w:hAnsiTheme="minorEastAsia"/>
                <w:b/>
              </w:rPr>
            </w:pPr>
            <w:r>
              <w:rPr>
                <w:rFonts w:cs="微软雅黑" w:asciiTheme="minorEastAsia" w:hAnsiTheme="minorEastAsia"/>
                <w:b/>
              </w:rPr>
              <w:t>免赔额</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1800"/>
              </w:tabs>
              <w:adjustRightInd w:val="0"/>
              <w:snapToGrid w:val="0"/>
              <w:spacing w:line="276" w:lineRule="auto"/>
              <w:rPr>
                <w:rFonts w:cs="微软雅黑" w:asciiTheme="minorEastAsia" w:hAnsiTheme="minorEastAsia"/>
              </w:rPr>
            </w:pPr>
            <w:r>
              <w:rPr>
                <w:rFonts w:hint="eastAsia" w:cs="微软雅黑" w:asciiTheme="minorEastAsia" w:hAnsiTheme="minorEastAsia"/>
              </w:rPr>
              <w:t>1.本保险对每次事故的绝对免赔为2000元人民币或损失金额的10%，以高者为准。</w:t>
            </w:r>
          </w:p>
          <w:p>
            <w:pPr>
              <w:tabs>
                <w:tab w:val="center" w:pos="1800"/>
              </w:tabs>
              <w:adjustRightInd w:val="0"/>
              <w:snapToGrid w:val="0"/>
              <w:spacing w:line="276" w:lineRule="auto"/>
              <w:rPr>
                <w:rFonts w:cs="微软雅黑" w:asciiTheme="minorEastAsia" w:hAnsiTheme="minorEastAsia"/>
              </w:rPr>
            </w:pPr>
            <w:r>
              <w:rPr>
                <w:rFonts w:hint="eastAsia" w:cs="微软雅黑" w:asciiTheme="minorEastAsia" w:hAnsiTheme="minorEastAsia"/>
              </w:rPr>
              <w:t>2.本保险对地震扩展条款A每次事故的绝对免赔为400000元人民币或损失金额的20%，以高者为准。</w:t>
            </w:r>
          </w:p>
          <w:p>
            <w:pPr>
              <w:tabs>
                <w:tab w:val="center" w:pos="1800"/>
              </w:tabs>
              <w:adjustRightInd w:val="0"/>
              <w:snapToGrid w:val="0"/>
              <w:spacing w:line="276" w:lineRule="auto"/>
              <w:rPr>
                <w:rFonts w:cs="微软雅黑" w:asciiTheme="minorEastAsia" w:hAnsiTheme="minorEastAsia"/>
              </w:rPr>
            </w:pPr>
            <w:r>
              <w:rPr>
                <w:rFonts w:hint="eastAsia" w:cs="微软雅黑" w:asciiTheme="minorEastAsia" w:hAnsiTheme="minorEastAsia"/>
              </w:rPr>
              <w:t>每次事故定义：一次事故或一次事件引起的一系列事故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Borders>
              <w:top w:val="single" w:color="auto" w:sz="4" w:space="0"/>
              <w:left w:val="single" w:color="auto" w:sz="4" w:space="0"/>
              <w:bottom w:val="single" w:color="auto" w:sz="4" w:space="0"/>
              <w:right w:val="single" w:color="auto" w:sz="4" w:space="0"/>
            </w:tcBorders>
            <w:vAlign w:val="center"/>
          </w:tcPr>
          <w:p>
            <w:pPr>
              <w:tabs>
                <w:tab w:val="left" w:pos="2100"/>
                <w:tab w:val="left" w:pos="8820"/>
              </w:tabs>
              <w:adjustRightInd w:val="0"/>
              <w:snapToGrid w:val="0"/>
              <w:spacing w:line="500" w:lineRule="exact"/>
              <w:rPr>
                <w:rFonts w:cs="微软雅黑" w:asciiTheme="minorEastAsia" w:hAnsiTheme="minorEastAsia"/>
                <w:b/>
              </w:rPr>
            </w:pPr>
            <w:r>
              <w:rPr>
                <w:rFonts w:hint="eastAsia" w:cs="微软雅黑" w:asciiTheme="minorEastAsia" w:hAnsiTheme="minorEastAsia"/>
                <w:b/>
              </w:rPr>
              <w:t>价值厘定</w:t>
            </w:r>
          </w:p>
        </w:tc>
        <w:tc>
          <w:tcPr>
            <w:tcW w:w="7796" w:type="dxa"/>
            <w:tcBorders>
              <w:top w:val="single" w:color="auto" w:sz="4" w:space="0"/>
              <w:left w:val="single" w:color="auto" w:sz="4" w:space="0"/>
              <w:bottom w:val="single" w:color="auto" w:sz="4" w:space="0"/>
              <w:right w:val="single" w:color="auto" w:sz="4" w:space="0"/>
            </w:tcBorders>
            <w:vAlign w:val="center"/>
          </w:tcPr>
          <w:p>
            <w:pPr>
              <w:tabs>
                <w:tab w:val="center" w:pos="1800"/>
              </w:tabs>
              <w:adjustRightInd w:val="0"/>
              <w:snapToGrid w:val="0"/>
              <w:spacing w:line="500" w:lineRule="exact"/>
              <w:ind w:left="2700" w:hanging="2700" w:hangingChars="1125"/>
              <w:rPr>
                <w:rFonts w:cs="微软雅黑" w:asciiTheme="minorEastAsia" w:hAnsiTheme="minorEastAsia"/>
              </w:rPr>
            </w:pPr>
            <w:r>
              <w:rPr>
                <w:rFonts w:hint="eastAsia" w:cs="微软雅黑" w:asciiTheme="minorEastAsia" w:hAnsiTheme="minorEastAsia"/>
              </w:rPr>
              <w:t>重新购置的价值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555" w:type="dxa"/>
            <w:tcBorders>
              <w:top w:val="single" w:color="auto" w:sz="4" w:space="0"/>
              <w:left w:val="single" w:color="auto" w:sz="4" w:space="0"/>
              <w:bottom w:val="single" w:color="auto" w:sz="4" w:space="0"/>
              <w:right w:val="single" w:color="auto" w:sz="4" w:space="0"/>
            </w:tcBorders>
            <w:vAlign w:val="center"/>
          </w:tcPr>
          <w:p>
            <w:pPr>
              <w:tabs>
                <w:tab w:val="left" w:pos="2100"/>
                <w:tab w:val="left" w:pos="8820"/>
              </w:tabs>
              <w:adjustRightInd w:val="0"/>
              <w:snapToGrid w:val="0"/>
              <w:spacing w:line="500" w:lineRule="exact"/>
              <w:rPr>
                <w:rFonts w:cs="微软雅黑" w:asciiTheme="minorEastAsia" w:hAnsiTheme="minorEastAsia"/>
                <w:b/>
              </w:rPr>
            </w:pPr>
            <w:r>
              <w:rPr>
                <w:rFonts w:hint="eastAsia" w:cs="微软雅黑" w:asciiTheme="minorEastAsia" w:hAnsiTheme="minorEastAsia"/>
                <w:b/>
              </w:rPr>
              <w:t>附加险</w:t>
            </w:r>
          </w:p>
          <w:p>
            <w:pPr>
              <w:tabs>
                <w:tab w:val="left" w:pos="2100"/>
                <w:tab w:val="left" w:pos="8820"/>
              </w:tabs>
              <w:adjustRightInd w:val="0"/>
              <w:snapToGrid w:val="0"/>
              <w:spacing w:line="500" w:lineRule="exact"/>
              <w:rPr>
                <w:rFonts w:cs="微软雅黑" w:asciiTheme="minorEastAsia" w:hAnsiTheme="minorEastAsia"/>
                <w:b/>
              </w:rPr>
            </w:pPr>
            <w:r>
              <w:rPr>
                <w:rFonts w:hint="eastAsia" w:cs="微软雅黑" w:asciiTheme="minorEastAsia" w:hAnsiTheme="minorEastAsia"/>
                <w:b/>
              </w:rPr>
              <w:t>责任限额</w:t>
            </w:r>
          </w:p>
        </w:tc>
        <w:tc>
          <w:tcPr>
            <w:tcW w:w="7796" w:type="dxa"/>
            <w:tcBorders>
              <w:top w:val="single" w:color="auto" w:sz="4" w:space="0"/>
              <w:left w:val="single" w:color="auto" w:sz="4" w:space="0"/>
              <w:bottom w:val="single" w:color="auto" w:sz="4" w:space="0"/>
              <w:right w:val="single" w:color="auto" w:sz="4" w:space="0"/>
            </w:tcBorders>
            <w:vAlign w:val="center"/>
          </w:tcPr>
          <w:tbl>
            <w:tblPr>
              <w:tblStyle w:val="9"/>
              <w:tblW w:w="7541" w:type="dxa"/>
              <w:tblInd w:w="0" w:type="dxa"/>
              <w:tblLayout w:type="fixed"/>
              <w:tblCellMar>
                <w:top w:w="0" w:type="dxa"/>
                <w:left w:w="108" w:type="dxa"/>
                <w:bottom w:w="0" w:type="dxa"/>
                <w:right w:w="108" w:type="dxa"/>
              </w:tblCellMar>
            </w:tblPr>
            <w:tblGrid>
              <w:gridCol w:w="480"/>
              <w:gridCol w:w="4280"/>
              <w:gridCol w:w="2781"/>
            </w:tblGrid>
            <w:tr>
              <w:tblPrEx>
                <w:tblCellMar>
                  <w:top w:w="0" w:type="dxa"/>
                  <w:left w:w="108" w:type="dxa"/>
                  <w:bottom w:w="0" w:type="dxa"/>
                  <w:right w:w="108" w:type="dxa"/>
                </w:tblCellMar>
              </w:tblPrEx>
              <w:trPr>
                <w:trHeight w:val="30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序号</w:t>
                  </w:r>
                </w:p>
              </w:tc>
              <w:tc>
                <w:tcPr>
                  <w:tcW w:w="42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附加险名称</w:t>
                  </w:r>
                </w:p>
              </w:tc>
              <w:tc>
                <w:tcPr>
                  <w:tcW w:w="2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保险金额（单位：元）</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重置价值条款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暴风雨扩展条款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玻璃破碎扩展条款</w:t>
                  </w:r>
                  <w:r>
                    <w:rPr>
                      <w:rFonts w:hint="eastAsia" w:ascii="宋体" w:hAnsi="宋体" w:eastAsia="宋体" w:cs="宋体"/>
                      <w:color w:val="FF0000"/>
                      <w:kern w:val="0"/>
                    </w:rPr>
                    <w:t>（含自爆）</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100,000.00</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4</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清理残骸费用扩展条款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5</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弃权与禁止反言条款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6</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自动升值扩展条款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7</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恐怖活动扩展条款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8</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灭火费用扩展条款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9</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地震扩展条款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000000" w:themeColor="text1"/>
                      <w:kern w:val="0"/>
                      <w14:textFill>
                        <w14:solidFill>
                          <w14:schemeClr w14:val="tx1"/>
                        </w14:solidFill>
                      </w14:textFill>
                    </w:rPr>
                    <w:t>247,965,183.69</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10</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增加资产扩展条款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11</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罢工、暴乱及民众骚乱扩展条款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12</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特别费用扩展条款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13</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消防队灭火费用扩展条款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14</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锅炉、压力容器扩展条款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43,114,831.00</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15</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恶意破坏扩展条款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16</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水箱、水管爆裂扩展条款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17</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专业费用扩展条款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18</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盗窃、抢劫扩展条款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19</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自动喷淋系统水损扩展条款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20</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碰撞扩展条款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21</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自动恢复保险金额条款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22</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预付赔款条款A</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23</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不受控制条款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24</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错误和遗漏条款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25</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违反条件条款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26</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不使失效条款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27</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紧急抢险条款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28</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供水、供气、管道破裂损失条款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29</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建筑物外部附属设备扩展条款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229,835,280.61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30</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烟熏扩展条款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31</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广告及装饰装置条款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229,835,280.61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32</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公共当局扩展条款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33</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72小时条款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309,956,479.61</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34</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园林、绿化保险条款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37,006,368.00</w:t>
                  </w:r>
                </w:p>
              </w:tc>
            </w:tr>
            <w:tr>
              <w:tblPrEx>
                <w:tblCellMar>
                  <w:top w:w="0" w:type="dxa"/>
                  <w:left w:w="108" w:type="dxa"/>
                  <w:bottom w:w="0" w:type="dxa"/>
                  <w:right w:w="108" w:type="dxa"/>
                </w:tblCellMar>
              </w:tblPrEx>
              <w:trPr>
                <w:trHeight w:val="30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35</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任何水浸、水湿损坏扩展条款</w:t>
                  </w:r>
                </w:p>
              </w:tc>
              <w:tc>
                <w:tcPr>
                  <w:tcW w:w="2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rPr>
                  </w:pPr>
                  <w:r>
                    <w:rPr>
                      <w:rFonts w:hint="eastAsia" w:ascii="宋体" w:hAnsi="宋体" w:eastAsia="宋体" w:cs="宋体"/>
                      <w:color w:val="FF0000"/>
                      <w:kern w:val="0"/>
                    </w:rPr>
                    <w:t>309,956,479.61</w:t>
                  </w:r>
                </w:p>
              </w:tc>
            </w:tr>
          </w:tbl>
          <w:p>
            <w:pPr>
              <w:tabs>
                <w:tab w:val="center" w:pos="1800"/>
              </w:tabs>
              <w:adjustRightInd w:val="0"/>
              <w:snapToGrid w:val="0"/>
              <w:spacing w:line="500" w:lineRule="exact"/>
              <w:ind w:left="2700" w:hanging="2700" w:hangingChars="1125"/>
              <w:rPr>
                <w:rFonts w:cs="微软雅黑"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5" w:type="dxa"/>
            <w:tcBorders>
              <w:top w:val="single" w:color="auto" w:sz="4" w:space="0"/>
              <w:left w:val="single" w:color="auto" w:sz="4" w:space="0"/>
              <w:bottom w:val="single" w:color="auto" w:sz="4" w:space="0"/>
              <w:right w:val="single" w:color="auto" w:sz="4" w:space="0"/>
            </w:tcBorders>
            <w:vAlign w:val="center"/>
          </w:tcPr>
          <w:p>
            <w:pPr>
              <w:tabs>
                <w:tab w:val="left" w:pos="2100"/>
                <w:tab w:val="left" w:pos="8820"/>
              </w:tabs>
              <w:adjustRightInd w:val="0"/>
              <w:snapToGrid w:val="0"/>
              <w:spacing w:line="500" w:lineRule="exact"/>
              <w:rPr>
                <w:rFonts w:cs="微软雅黑" w:asciiTheme="minorEastAsia" w:hAnsiTheme="minorEastAsia"/>
                <w:b/>
              </w:rPr>
            </w:pPr>
            <w:r>
              <w:rPr>
                <w:rFonts w:hint="eastAsia" w:cs="微软雅黑" w:asciiTheme="minorEastAsia" w:hAnsiTheme="minorEastAsia"/>
                <w:b/>
                <w:color w:val="FF0000"/>
                <w:highlight w:val="yellow"/>
              </w:rPr>
              <w:t>特别约定</w:t>
            </w:r>
          </w:p>
        </w:tc>
        <w:tc>
          <w:tcPr>
            <w:tcW w:w="7796" w:type="dxa"/>
            <w:tcBorders>
              <w:top w:val="single" w:color="auto" w:sz="4" w:space="0"/>
              <w:left w:val="single" w:color="auto" w:sz="4" w:space="0"/>
              <w:bottom w:val="single" w:color="auto" w:sz="4" w:space="0"/>
              <w:right w:val="single" w:color="auto" w:sz="4" w:space="0"/>
            </w:tcBorders>
            <w:vAlign w:val="center"/>
          </w:tcPr>
          <w:p>
            <w:pPr>
              <w:tabs>
                <w:tab w:val="left" w:pos="2280"/>
              </w:tabs>
              <w:adjustRightInd w:val="0"/>
              <w:snapToGrid w:val="0"/>
              <w:spacing w:line="276" w:lineRule="auto"/>
              <w:rPr>
                <w:rFonts w:cs="微软雅黑" w:asciiTheme="minorEastAsia" w:hAnsiTheme="minorEastAsia"/>
                <w:b/>
                <w:color w:val="FF0000"/>
              </w:rPr>
            </w:pPr>
            <w:r>
              <w:rPr>
                <w:rFonts w:hint="eastAsia" w:cs="微软雅黑" w:asciiTheme="minorEastAsia" w:hAnsiTheme="minorEastAsia"/>
                <w:color w:val="FF0000"/>
              </w:rPr>
              <w:t>1</w:t>
            </w:r>
            <w:r>
              <w:rPr>
                <w:rFonts w:cs="微软雅黑" w:asciiTheme="minorEastAsia" w:hAnsiTheme="minorEastAsia"/>
                <w:color w:val="FF0000"/>
              </w:rPr>
              <w:t>、</w:t>
            </w:r>
            <w:r>
              <w:rPr>
                <w:rFonts w:hint="eastAsia" w:cs="微软雅黑" w:asciiTheme="minorEastAsia" w:hAnsiTheme="minorEastAsia"/>
                <w:color w:val="FF0000"/>
              </w:rPr>
              <w:t>虽然附加条款有相反的规定，</w:t>
            </w:r>
            <w:r>
              <w:rPr>
                <w:rFonts w:hint="eastAsia" w:cs="微软雅黑" w:asciiTheme="minorEastAsia" w:hAnsiTheme="minorEastAsia"/>
                <w:b/>
                <w:color w:val="FF0000"/>
              </w:rPr>
              <w:t>但经双方同意，本保险扩展承保由于玻璃破碎而引起其他物品的损失，保险人负责赔偿；</w:t>
            </w:r>
          </w:p>
          <w:p>
            <w:pPr>
              <w:tabs>
                <w:tab w:val="left" w:pos="2280"/>
              </w:tabs>
              <w:adjustRightInd w:val="0"/>
              <w:snapToGrid w:val="0"/>
              <w:spacing w:line="276" w:lineRule="auto"/>
              <w:rPr>
                <w:rFonts w:cs="微软雅黑" w:asciiTheme="minorEastAsia" w:hAnsiTheme="minorEastAsia"/>
                <w:color w:val="FF0000"/>
              </w:rPr>
            </w:pPr>
            <w:r>
              <w:rPr>
                <w:rFonts w:hint="eastAsia" w:cs="微软雅黑" w:asciiTheme="minorEastAsia" w:hAnsiTheme="minorEastAsia"/>
                <w:color w:val="FF0000"/>
              </w:rPr>
              <w:t>2</w:t>
            </w:r>
            <w:r>
              <w:rPr>
                <w:rFonts w:cs="微软雅黑" w:asciiTheme="minorEastAsia" w:hAnsiTheme="minorEastAsia"/>
                <w:color w:val="FF0000"/>
              </w:rPr>
              <w:t>、扩展承保因意外事故或自然灾害造成露天财产的损失。</w:t>
            </w:r>
          </w:p>
          <w:p>
            <w:pPr>
              <w:tabs>
                <w:tab w:val="left" w:pos="2280"/>
              </w:tabs>
              <w:adjustRightInd w:val="0"/>
              <w:snapToGrid w:val="0"/>
              <w:spacing w:line="276" w:lineRule="auto"/>
              <w:rPr>
                <w:rFonts w:cs="微软雅黑" w:asciiTheme="minorEastAsia" w:hAnsiTheme="minorEastAsia"/>
                <w:color w:val="FF0000"/>
              </w:rPr>
            </w:pPr>
            <w:r>
              <w:rPr>
                <w:rFonts w:hint="eastAsia" w:cs="微软雅黑" w:asciiTheme="minorEastAsia" w:hAnsiTheme="minorEastAsia"/>
                <w:color w:val="FF0000"/>
              </w:rPr>
              <w:t>3</w:t>
            </w:r>
            <w:r>
              <w:rPr>
                <w:rFonts w:cs="微软雅黑" w:asciiTheme="minorEastAsia" w:hAnsiTheme="minorEastAsia"/>
                <w:color w:val="FF0000"/>
              </w:rPr>
              <w:t>、扩展承保因经营需要，如举办活动等临时搭建场所及场所内一切设备及财产因自燃或意外事故造成的损失。</w:t>
            </w:r>
          </w:p>
          <w:p>
            <w:pPr>
              <w:tabs>
                <w:tab w:val="left" w:pos="2280"/>
              </w:tabs>
              <w:adjustRightInd w:val="0"/>
              <w:snapToGrid w:val="0"/>
              <w:spacing w:line="276" w:lineRule="auto"/>
              <w:rPr>
                <w:rFonts w:cs="微软雅黑" w:asciiTheme="minorEastAsia" w:hAnsiTheme="minorEastAsia"/>
                <w:color w:val="FF0000"/>
              </w:rPr>
            </w:pPr>
            <w:r>
              <w:rPr>
                <w:rFonts w:hint="eastAsia" w:cs="微软雅黑" w:asciiTheme="minorEastAsia" w:hAnsiTheme="minorEastAsia"/>
                <w:color w:val="FF0000"/>
              </w:rPr>
              <w:t>4</w:t>
            </w:r>
            <w:r>
              <w:rPr>
                <w:rFonts w:cs="微软雅黑" w:asciiTheme="minorEastAsia" w:hAnsiTheme="minorEastAsia"/>
                <w:color w:val="FF0000"/>
              </w:rPr>
              <w:t>、扩展承保包括但不仅限于经营场所范围内的图书、读物、展品、艺术品、乐器等。</w:t>
            </w:r>
          </w:p>
          <w:p>
            <w:pPr>
              <w:tabs>
                <w:tab w:val="left" w:pos="2280"/>
              </w:tabs>
              <w:adjustRightInd w:val="0"/>
              <w:snapToGrid w:val="0"/>
              <w:spacing w:line="276" w:lineRule="auto"/>
              <w:rPr>
                <w:rFonts w:cs="微软雅黑" w:asciiTheme="minorEastAsia" w:hAnsiTheme="minorEastAsia"/>
              </w:rPr>
            </w:pPr>
            <w:r>
              <w:rPr>
                <w:rFonts w:hint="eastAsia" w:cs="微软雅黑" w:asciiTheme="minorEastAsia" w:hAnsiTheme="minorEastAsia"/>
                <w:color w:val="FF0000"/>
              </w:rPr>
              <w:t>5、本保单保险财产地址仅限于本保单列明的地址内</w:t>
            </w:r>
            <w:r>
              <w:rPr>
                <w:rFonts w:hint="eastAsia" w:cs="微软雅黑" w:asciiTheme="minorEastAsia" w:hAnsiTheme="minorEastAsia"/>
              </w:rPr>
              <w:t>。</w:t>
            </w:r>
          </w:p>
        </w:tc>
      </w:tr>
    </w:tbl>
    <w:p>
      <w:pPr>
        <w:rPr>
          <w:rFonts w:asciiTheme="minorEastAsia" w:hAnsiTheme="minorEastAsia"/>
        </w:rPr>
      </w:pPr>
      <w:r>
        <w:rPr>
          <w:rFonts w:asciiTheme="minorEastAsia" w:hAnsiTheme="minorEastAsia"/>
        </w:rPr>
        <w:br w:type="textWrapping" w:clear="all"/>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B4"/>
    <w:rsid w:val="00002A8F"/>
    <w:rsid w:val="000063A3"/>
    <w:rsid w:val="00011A54"/>
    <w:rsid w:val="00054B5A"/>
    <w:rsid w:val="00115B7A"/>
    <w:rsid w:val="0012783C"/>
    <w:rsid w:val="00143AD0"/>
    <w:rsid w:val="001552F3"/>
    <w:rsid w:val="00165CB4"/>
    <w:rsid w:val="00172152"/>
    <w:rsid w:val="00181BCF"/>
    <w:rsid w:val="00186403"/>
    <w:rsid w:val="001912FB"/>
    <w:rsid w:val="001B53E5"/>
    <w:rsid w:val="001C2FD0"/>
    <w:rsid w:val="001E7E45"/>
    <w:rsid w:val="00210347"/>
    <w:rsid w:val="002217E3"/>
    <w:rsid w:val="002413E3"/>
    <w:rsid w:val="00264985"/>
    <w:rsid w:val="00265C0F"/>
    <w:rsid w:val="002771E6"/>
    <w:rsid w:val="00284406"/>
    <w:rsid w:val="0029115E"/>
    <w:rsid w:val="002D2D94"/>
    <w:rsid w:val="002D3BC5"/>
    <w:rsid w:val="002D73D3"/>
    <w:rsid w:val="002E6E48"/>
    <w:rsid w:val="002F4E24"/>
    <w:rsid w:val="00325662"/>
    <w:rsid w:val="003366A5"/>
    <w:rsid w:val="003468EC"/>
    <w:rsid w:val="003753BA"/>
    <w:rsid w:val="0039243F"/>
    <w:rsid w:val="003C761D"/>
    <w:rsid w:val="003F39A6"/>
    <w:rsid w:val="0044752C"/>
    <w:rsid w:val="00476CFA"/>
    <w:rsid w:val="004820CE"/>
    <w:rsid w:val="004A7FB8"/>
    <w:rsid w:val="004F2ED5"/>
    <w:rsid w:val="00523446"/>
    <w:rsid w:val="00552EAC"/>
    <w:rsid w:val="0056729E"/>
    <w:rsid w:val="00567EAE"/>
    <w:rsid w:val="00577869"/>
    <w:rsid w:val="005927B8"/>
    <w:rsid w:val="005A6344"/>
    <w:rsid w:val="005B2283"/>
    <w:rsid w:val="005C7D27"/>
    <w:rsid w:val="005E2F7D"/>
    <w:rsid w:val="00642789"/>
    <w:rsid w:val="00647163"/>
    <w:rsid w:val="006932CA"/>
    <w:rsid w:val="006A258D"/>
    <w:rsid w:val="006B432F"/>
    <w:rsid w:val="006E0CDD"/>
    <w:rsid w:val="00755089"/>
    <w:rsid w:val="00755137"/>
    <w:rsid w:val="007707F5"/>
    <w:rsid w:val="00773BBE"/>
    <w:rsid w:val="007A1AF0"/>
    <w:rsid w:val="007A7AE3"/>
    <w:rsid w:val="007D447C"/>
    <w:rsid w:val="008153C3"/>
    <w:rsid w:val="00824DB4"/>
    <w:rsid w:val="00827AD7"/>
    <w:rsid w:val="00832328"/>
    <w:rsid w:val="00836157"/>
    <w:rsid w:val="00875D3E"/>
    <w:rsid w:val="008778E4"/>
    <w:rsid w:val="008835DE"/>
    <w:rsid w:val="00886777"/>
    <w:rsid w:val="008974D8"/>
    <w:rsid w:val="008976C7"/>
    <w:rsid w:val="008979AD"/>
    <w:rsid w:val="008D1188"/>
    <w:rsid w:val="008E336C"/>
    <w:rsid w:val="00910604"/>
    <w:rsid w:val="00923B2F"/>
    <w:rsid w:val="00925240"/>
    <w:rsid w:val="00946C7C"/>
    <w:rsid w:val="009B7797"/>
    <w:rsid w:val="009D13C6"/>
    <w:rsid w:val="009D4E79"/>
    <w:rsid w:val="009D55D3"/>
    <w:rsid w:val="009E3494"/>
    <w:rsid w:val="009F3CFD"/>
    <w:rsid w:val="00A01F64"/>
    <w:rsid w:val="00A30097"/>
    <w:rsid w:val="00A37811"/>
    <w:rsid w:val="00A643A7"/>
    <w:rsid w:val="00A7622F"/>
    <w:rsid w:val="00A7675E"/>
    <w:rsid w:val="00A7722B"/>
    <w:rsid w:val="00A93275"/>
    <w:rsid w:val="00AA356B"/>
    <w:rsid w:val="00AA507C"/>
    <w:rsid w:val="00AE42EC"/>
    <w:rsid w:val="00B1457E"/>
    <w:rsid w:val="00B251A5"/>
    <w:rsid w:val="00B31FB0"/>
    <w:rsid w:val="00B40346"/>
    <w:rsid w:val="00B433A2"/>
    <w:rsid w:val="00B756FA"/>
    <w:rsid w:val="00B84EE6"/>
    <w:rsid w:val="00B93E2D"/>
    <w:rsid w:val="00BB54B4"/>
    <w:rsid w:val="00BE0BF5"/>
    <w:rsid w:val="00BE44DE"/>
    <w:rsid w:val="00C372BA"/>
    <w:rsid w:val="00C4250B"/>
    <w:rsid w:val="00C429EC"/>
    <w:rsid w:val="00C511F0"/>
    <w:rsid w:val="00C64B45"/>
    <w:rsid w:val="00C677AC"/>
    <w:rsid w:val="00C70A53"/>
    <w:rsid w:val="00C806DF"/>
    <w:rsid w:val="00C9372A"/>
    <w:rsid w:val="00CA1AAA"/>
    <w:rsid w:val="00CD500C"/>
    <w:rsid w:val="00CF295E"/>
    <w:rsid w:val="00CF2DF2"/>
    <w:rsid w:val="00D06E34"/>
    <w:rsid w:val="00D14406"/>
    <w:rsid w:val="00D20724"/>
    <w:rsid w:val="00D239D5"/>
    <w:rsid w:val="00D278B7"/>
    <w:rsid w:val="00D42236"/>
    <w:rsid w:val="00D5672F"/>
    <w:rsid w:val="00DA6A75"/>
    <w:rsid w:val="00DD4AAB"/>
    <w:rsid w:val="00DE45D3"/>
    <w:rsid w:val="00E1749C"/>
    <w:rsid w:val="00E41F84"/>
    <w:rsid w:val="00E438D8"/>
    <w:rsid w:val="00E63D86"/>
    <w:rsid w:val="00E71D94"/>
    <w:rsid w:val="00E77B9A"/>
    <w:rsid w:val="00E83A67"/>
    <w:rsid w:val="00EA2AAA"/>
    <w:rsid w:val="00EB4FAD"/>
    <w:rsid w:val="00F1633D"/>
    <w:rsid w:val="00F21EA6"/>
    <w:rsid w:val="00F56552"/>
    <w:rsid w:val="00F65A84"/>
    <w:rsid w:val="00F7570A"/>
    <w:rsid w:val="00F96A98"/>
    <w:rsid w:val="00FC60B0"/>
    <w:rsid w:val="00FE25B6"/>
    <w:rsid w:val="00FF0BA5"/>
    <w:rsid w:val="00FF1EC0"/>
    <w:rsid w:val="00FF513A"/>
    <w:rsid w:val="00FF6C1F"/>
    <w:rsid w:val="00FF7C14"/>
    <w:rsid w:val="CFF728E1"/>
    <w:rsid w:val="F3DAF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3"/>
    <w:qFormat/>
    <w:uiPriority w:val="0"/>
    <w:pPr>
      <w:adjustRightInd w:val="0"/>
      <w:spacing w:line="312" w:lineRule="atLeast"/>
      <w:ind w:firstLine="420"/>
      <w:textAlignment w:val="baseline"/>
    </w:pPr>
    <w:rPr>
      <w:rFonts w:ascii="Times New Roman" w:hAnsi="Times New Roman" w:eastAsia="宋体" w:cs="Times New Roman"/>
      <w:kern w:val="0"/>
      <w:sz w:val="21"/>
      <w:szCs w:val="20"/>
    </w:rPr>
  </w:style>
  <w:style w:type="paragraph" w:styleId="3">
    <w:name w:val="annotation text"/>
    <w:basedOn w:val="1"/>
    <w:link w:val="17"/>
    <w:qFormat/>
    <w:uiPriority w:val="0"/>
    <w:pPr>
      <w:jc w:val="left"/>
    </w:pPr>
    <w:rPr>
      <w:rFonts w:ascii="Calibri" w:hAnsi="Calibri" w:eastAsia="宋体" w:cs="Times New Roman"/>
      <w:kern w:val="0"/>
      <w:sz w:val="20"/>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8">
    <w:name w:val="annotation subject"/>
    <w:basedOn w:val="3"/>
    <w:next w:val="3"/>
    <w:link w:val="18"/>
    <w:semiHidden/>
    <w:unhideWhenUsed/>
    <w:qFormat/>
    <w:uiPriority w:val="99"/>
    <w:rPr>
      <w:rFonts w:asciiTheme="minorHAnsi" w:hAnsiTheme="minorHAnsi" w:eastAsiaTheme="minorEastAsia" w:cstheme="minorBidi"/>
      <w:b/>
      <w:bCs/>
      <w:kern w:val="2"/>
      <w:sz w:val="24"/>
      <w:szCs w:val="24"/>
    </w:rPr>
  </w:style>
  <w:style w:type="table" w:styleId="10">
    <w:name w:val="Table Simple 1"/>
    <w:basedOn w:val="9"/>
    <w:qFormat/>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FFFFFF"/>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12">
    <w:name w:val="annotation reference"/>
    <w:basedOn w:val="11"/>
    <w:semiHidden/>
    <w:unhideWhenUsed/>
    <w:qFormat/>
    <w:uiPriority w:val="0"/>
    <w:rPr>
      <w:sz w:val="21"/>
      <w:szCs w:val="21"/>
    </w:rPr>
  </w:style>
  <w:style w:type="character" w:customStyle="1" w:styleId="13">
    <w:name w:val="正文缩进 Char"/>
    <w:link w:val="2"/>
    <w:qFormat/>
    <w:uiPriority w:val="0"/>
    <w:rPr>
      <w:rFonts w:ascii="Times New Roman" w:hAnsi="Times New Roman" w:eastAsia="宋体" w:cs="Times New Roman"/>
      <w:kern w:val="0"/>
      <w:szCs w:val="20"/>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批注框文本 Char"/>
    <w:basedOn w:val="11"/>
    <w:link w:val="4"/>
    <w:semiHidden/>
    <w:qFormat/>
    <w:uiPriority w:val="99"/>
    <w:rPr>
      <w:sz w:val="18"/>
      <w:szCs w:val="18"/>
    </w:rPr>
  </w:style>
  <w:style w:type="character" w:customStyle="1" w:styleId="17">
    <w:name w:val="批注文字 Char"/>
    <w:basedOn w:val="11"/>
    <w:link w:val="3"/>
    <w:qFormat/>
    <w:uiPriority w:val="0"/>
    <w:rPr>
      <w:rFonts w:ascii="Calibri" w:hAnsi="Calibri" w:eastAsia="宋体" w:cs="Times New Roman"/>
      <w:kern w:val="0"/>
      <w:sz w:val="20"/>
      <w:szCs w:val="20"/>
    </w:rPr>
  </w:style>
  <w:style w:type="character" w:customStyle="1" w:styleId="18">
    <w:name w:val="批注主题 Char"/>
    <w:basedOn w:val="17"/>
    <w:link w:val="8"/>
    <w:semiHidden/>
    <w:qFormat/>
    <w:uiPriority w:val="99"/>
    <w:rPr>
      <w:rFonts w:ascii="Calibri" w:hAnsi="Calibri" w:eastAsia="宋体" w:cs="Times New Roman"/>
      <w:b/>
      <w:bCs/>
      <w:kern w:val="0"/>
      <w:sz w:val="24"/>
      <w:szCs w:val="24"/>
    </w:rPr>
  </w:style>
  <w:style w:type="character" w:customStyle="1" w:styleId="19">
    <w:name w:val="Normal Char"/>
    <w:link w:val="20"/>
    <w:qFormat/>
    <w:uiPriority w:val="0"/>
    <w:rPr>
      <w:rFonts w:ascii="宋体"/>
      <w:sz w:val="34"/>
    </w:rPr>
  </w:style>
  <w:style w:type="paragraph" w:customStyle="1" w:styleId="20">
    <w:name w:val="正文1"/>
    <w:link w:val="19"/>
    <w:qFormat/>
    <w:uiPriority w:val="0"/>
    <w:pPr>
      <w:widowControl w:val="0"/>
      <w:adjustRightInd w:val="0"/>
      <w:spacing w:line="0" w:lineRule="atLeast"/>
      <w:textAlignment w:val="baseline"/>
    </w:pPr>
    <w:rPr>
      <w:rFonts w:ascii="宋体" w:hAnsiTheme="minorHAnsi" w:eastAsiaTheme="minorEastAsia" w:cstheme="minorBidi"/>
      <w:kern w:val="2"/>
      <w:sz w:val="3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1189</Words>
  <Characters>6778</Characters>
  <Lines>56</Lines>
  <Paragraphs>15</Paragraphs>
  <TotalTime>38</TotalTime>
  <ScaleCrop>false</ScaleCrop>
  <LinksUpToDate>false</LinksUpToDate>
  <CharactersWithSpaces>7952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2024-03-12T01:42:00Z</dcterms:created>
  <dc:creator>Chendm</dc:creator>
  <cp:lastModifiedBy>wtj-ljl</cp:lastModifiedBy>
  <cp:lastPrinted>2024-03-12T03:04:00Z</cp:lastPrinted>
  <dcterms:modified xsi:type="dcterms:W3CDTF">2024-03-13T17:48:54Z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