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sz w:val="44"/>
          <w:szCs w:val="44"/>
          <w:lang w:val="en-US" w:eastAsia="zh-CN"/>
        </w:rPr>
        <w:t>2024年龙华区第四届社区文体节系列活动之群众大舞台</w:t>
      </w:r>
      <w:r>
        <w:rPr>
          <w:rFonts w:hint="eastAsia" w:ascii="方正小标宋简体" w:hAnsi="方正小标宋简体" w:eastAsia="方正小标宋简体" w:cs="方正小标宋简体"/>
          <w:b w:val="0"/>
          <w:bCs w:val="0"/>
          <w:color w:val="auto"/>
          <w:sz w:val="44"/>
          <w:szCs w:val="44"/>
          <w:highlight w:val="none"/>
          <w:lang w:val="en-US" w:eastAsia="zh-CN"/>
        </w:rPr>
        <w:t>项目</w:t>
      </w:r>
      <w:r>
        <w:rPr>
          <w:rFonts w:hint="eastAsia" w:ascii="方正小标宋简体" w:hAnsi="方正小标宋简体" w:eastAsia="方正小标宋简体" w:cs="方正小标宋简体"/>
          <w:b w:val="0"/>
          <w:bCs w:val="0"/>
          <w:color w:val="auto"/>
          <w:sz w:val="44"/>
          <w:szCs w:val="44"/>
          <w:highlight w:val="none"/>
        </w:rPr>
        <w:t>需求书</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jc w:val="both"/>
        <w:textAlignment w:val="auto"/>
        <w:rPr>
          <w:rFonts w:hint="eastAsia" w:ascii="黑体" w:hAnsi="黑体" w:eastAsia="黑体" w:cs="黑体"/>
          <w:bCs/>
          <w:color w:val="auto"/>
          <w:sz w:val="32"/>
          <w:szCs w:val="32"/>
          <w:highlight w:val="none"/>
          <w:lang w:eastAsia="zh-CN"/>
        </w:rPr>
      </w:pP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color w:val="auto"/>
          <w:highlight w:val="none"/>
          <w:lang w:eastAsia="zh-CN"/>
        </w:rPr>
      </w:pPr>
      <w:r>
        <w:rPr>
          <w:rFonts w:hint="eastAsia" w:ascii="黑体" w:hAnsi="黑体" w:eastAsia="黑体" w:cs="黑体"/>
          <w:bCs/>
          <w:color w:val="auto"/>
          <w:sz w:val="32"/>
          <w:szCs w:val="32"/>
          <w:highlight w:val="none"/>
          <w:lang w:val="en-US" w:eastAsia="zh-CN"/>
        </w:rPr>
        <w:t>一、</w:t>
      </w:r>
      <w:r>
        <w:rPr>
          <w:rFonts w:hint="eastAsia" w:ascii="黑体" w:hAnsi="黑体" w:eastAsia="黑体" w:cs="黑体"/>
          <w:bCs/>
          <w:color w:val="auto"/>
          <w:sz w:val="32"/>
          <w:szCs w:val="32"/>
          <w:highlight w:val="none"/>
          <w:lang w:eastAsia="zh-CN"/>
        </w:rPr>
        <w:t>项目</w:t>
      </w:r>
      <w:r>
        <w:rPr>
          <w:rFonts w:hint="eastAsia" w:ascii="黑体" w:hAnsi="黑体" w:eastAsia="黑体" w:cs="黑体"/>
          <w:bCs/>
          <w:color w:val="auto"/>
          <w:sz w:val="32"/>
          <w:szCs w:val="32"/>
          <w:highlight w:val="none"/>
        </w:rPr>
        <w:t>目</w:t>
      </w:r>
      <w:r>
        <w:rPr>
          <w:rFonts w:hint="eastAsia" w:ascii="黑体" w:hAnsi="黑体" w:eastAsia="黑体" w:cs="黑体"/>
          <w:bCs/>
          <w:color w:val="auto"/>
          <w:sz w:val="32"/>
          <w:szCs w:val="32"/>
          <w:highlight w:val="none"/>
          <w:lang w:eastAsia="zh-CN"/>
        </w:rPr>
        <w:t>标</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深入推进惠民文化活动进社区，进一步丰富市民群众文化生活，发挥区-街道-社区三级联动共创效应，以“党群连心、邻里和谐、守望相助”为理念，按照开放、集约、共享的原则，举办“2024年龙华区第四届社区文体节系列活动之群众大舞台”活动。活动以各社区党群服务中心为主阵地，坚持通过高质量党建引领基层公共文化高质量发展，实现社区文艺活动“场场有内容、次次有亮点、全民齐参与”。</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color w:val="auto"/>
          <w:highlight w:val="none"/>
        </w:rPr>
      </w:pPr>
      <w:r>
        <w:rPr>
          <w:rFonts w:hint="eastAsia" w:ascii="黑体" w:hAnsi="黑体" w:eastAsia="黑体" w:cs="黑体"/>
          <w:bCs/>
          <w:color w:val="auto"/>
          <w:sz w:val="32"/>
          <w:szCs w:val="32"/>
          <w:highlight w:val="none"/>
          <w:lang w:val="en-US" w:eastAsia="zh-CN"/>
        </w:rPr>
        <w:t>二、</w:t>
      </w:r>
      <w:r>
        <w:rPr>
          <w:rFonts w:hint="eastAsia" w:ascii="黑体" w:hAnsi="黑体" w:eastAsia="黑体" w:cs="黑体"/>
          <w:bCs/>
          <w:color w:val="auto"/>
          <w:sz w:val="32"/>
          <w:szCs w:val="32"/>
          <w:highlight w:val="none"/>
        </w:rPr>
        <w:t>时间安排</w:t>
      </w:r>
    </w:p>
    <w:p>
      <w:pPr>
        <w:pStyle w:val="5"/>
        <w:keepNext w:val="0"/>
        <w:keepLines w:val="0"/>
        <w:pageBreakBefore w:val="0"/>
        <w:numPr>
          <w:ilvl w:val="0"/>
          <w:numId w:val="0"/>
        </w:numPr>
        <w:kinsoku/>
        <w:wordWrap/>
        <w:overflowPunct/>
        <w:topLinePunct w:val="0"/>
        <w:autoSpaceDE/>
        <w:autoSpaceDN/>
        <w:bidi w:val="0"/>
        <w:spacing w:line="560" w:lineRule="exact"/>
        <w:ind w:right="1470" w:rightChars="700" w:firstLine="640" w:firstLineChars="200"/>
        <w:textAlignment w:val="auto"/>
        <w:rPr>
          <w:rFonts w:hint="eastAsia"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val="en-US" w:eastAsia="zh-CN"/>
        </w:rPr>
        <w:t>2024年6月-12月</w:t>
      </w:r>
    </w:p>
    <w:p>
      <w:pPr>
        <w:pStyle w:val="5"/>
        <w:keepNext w:val="0"/>
        <w:keepLines w:val="0"/>
        <w:pageBreakBefore w:val="0"/>
        <w:numPr>
          <w:ilvl w:val="0"/>
          <w:numId w:val="0"/>
        </w:numPr>
        <w:kinsoku/>
        <w:wordWrap/>
        <w:overflowPunct/>
        <w:topLinePunct w:val="0"/>
        <w:autoSpaceDE/>
        <w:autoSpaceDN/>
        <w:bidi w:val="0"/>
        <w:spacing w:line="560" w:lineRule="exact"/>
        <w:ind w:right="1470" w:rightChars="700"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lang w:eastAsia="zh-CN"/>
        </w:rPr>
        <w:t>项目</w:t>
      </w:r>
      <w:r>
        <w:rPr>
          <w:rFonts w:hint="eastAsia" w:ascii="黑体" w:hAnsi="黑体" w:eastAsia="黑体" w:cs="黑体"/>
          <w:b w:val="0"/>
          <w:bCs/>
          <w:color w:val="auto"/>
          <w:sz w:val="32"/>
          <w:szCs w:val="32"/>
          <w:highlight w:val="none"/>
        </w:rPr>
        <w:t>内容</w:t>
      </w:r>
      <w:r>
        <w:rPr>
          <w:rFonts w:hint="eastAsia" w:ascii="黑体" w:hAnsi="黑体" w:eastAsia="黑体" w:cs="黑体"/>
          <w:b w:val="0"/>
          <w:bCs/>
          <w:color w:val="auto"/>
          <w:sz w:val="32"/>
          <w:szCs w:val="32"/>
          <w:highlight w:val="none"/>
          <w:lang w:val="en-US" w:eastAsia="zh-CN"/>
        </w:rPr>
        <w:t>及要求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（一）项目内容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活动内容：</w:t>
      </w:r>
      <w:r>
        <w:rPr>
          <w:rFonts w:hint="default" w:ascii="仿宋_GB2312" w:hAnsi="仿宋_GB2312" w:eastAsia="仿宋_GB2312" w:cs="仿宋_GB2312"/>
          <w:color w:val="auto"/>
          <w:sz w:val="32"/>
          <w:szCs w:val="32"/>
          <w:highlight w:val="none"/>
          <w:lang w:val="en-US" w:eastAsia="zh-CN"/>
        </w:rPr>
        <w:t>开展25场次</w:t>
      </w:r>
      <w:r>
        <w:rPr>
          <w:rFonts w:hint="eastAsia" w:ascii="仿宋_GB2312" w:hAnsi="仿宋_GB2312" w:eastAsia="仿宋_GB2312" w:cs="仿宋_GB2312"/>
          <w:color w:val="auto"/>
          <w:sz w:val="32"/>
          <w:szCs w:val="32"/>
          <w:highlight w:val="none"/>
          <w:lang w:val="en-US" w:eastAsia="zh-CN"/>
        </w:rPr>
        <w:t>社区文艺汇演</w:t>
      </w:r>
      <w:r>
        <w:rPr>
          <w:rFonts w:hint="default" w:ascii="仿宋_GB2312" w:hAnsi="仿宋_GB2312" w:eastAsia="仿宋_GB2312" w:cs="仿宋_GB2312"/>
          <w:color w:val="auto"/>
          <w:sz w:val="32"/>
          <w:szCs w:val="32"/>
          <w:highlight w:val="none"/>
          <w:lang w:val="en-US" w:eastAsia="zh-CN"/>
        </w:rPr>
        <w:t>活动，</w:t>
      </w:r>
      <w:r>
        <w:rPr>
          <w:rFonts w:hint="eastAsia" w:ascii="仿宋_GB2312" w:hAnsi="仿宋_GB2312" w:eastAsia="仿宋_GB2312" w:cs="仿宋_GB2312"/>
          <w:color w:val="auto"/>
          <w:sz w:val="32"/>
          <w:szCs w:val="32"/>
          <w:highlight w:val="none"/>
          <w:lang w:val="en-US" w:eastAsia="zh-CN"/>
        </w:rPr>
        <w:t>每场次表演不少于10个文艺节目，整体时长约90分钟，内容涉及多种艺术形式，包括但不限于音乐、舞蹈、戏剧、曲艺、杂技等。</w:t>
      </w:r>
    </w:p>
    <w:p>
      <w:pPr>
        <w:pStyle w:val="5"/>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具体要求</w:t>
      </w:r>
    </w:p>
    <w:p>
      <w:pPr>
        <w:pStyle w:val="11"/>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_GB2312" w:eastAsia="仿宋_GB2312" w:cs="仿宋_GB2312"/>
          <w:sz w:val="32"/>
          <w:szCs w:val="32"/>
          <w:lang w:val="en-US" w:eastAsia="zh-CN"/>
        </w:rPr>
        <w:t>1.负责邀请、组织文艺节目表演，以及现场执行实施等工作人员的安排。</w:t>
      </w:r>
    </w:p>
    <w:p>
      <w:pPr>
        <w:pStyle w:val="11"/>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2.负责节目道具制作、舞台舞美设计及制作、服装设计及制作。</w:t>
      </w:r>
    </w:p>
    <w:p>
      <w:pPr>
        <w:pStyle w:val="11"/>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3.负责节目排练、演出等相关费用。</w:t>
      </w:r>
    </w:p>
    <w:p>
      <w:pPr>
        <w:pStyle w:val="11"/>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4.负责节目中所需相关视频、音频的制作剪辑等费用。</w:t>
      </w:r>
    </w:p>
    <w:p>
      <w:pPr>
        <w:pStyle w:val="11"/>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5.负责节目中所有演员服装化妆设计及制作相关费用。</w:t>
      </w:r>
    </w:p>
    <w:p>
      <w:pPr>
        <w:pStyle w:val="11"/>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6.由于供应商原因造成节目质量，不能满足甲方要求时，应继续完善相关工作，其费用由乙方承担。</w:t>
      </w:r>
    </w:p>
    <w:p>
      <w:pPr>
        <w:keepNext w:val="0"/>
        <w:keepLines w:val="0"/>
        <w:pageBreakBefore w:val="0"/>
        <w:numPr>
          <w:ilvl w:val="0"/>
          <w:numId w:val="0"/>
        </w:numPr>
        <w:tabs>
          <w:tab w:val="left" w:pos="182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报价限额</w:t>
      </w:r>
    </w:p>
    <w:p>
      <w:pPr>
        <w:pStyle w:val="5"/>
        <w:keepNext w:val="0"/>
        <w:keepLines w:val="0"/>
        <w:pageBreakBefore w:val="0"/>
        <w:numPr>
          <w:ilvl w:val="0"/>
          <w:numId w:val="0"/>
        </w:numPr>
        <w:kinsoku/>
        <w:wordWrap/>
        <w:overflowPunct/>
        <w:topLinePunct w:val="0"/>
        <w:autoSpaceDE/>
        <w:autoSpaceDN/>
        <w:bidi w:val="0"/>
        <w:spacing w:line="560" w:lineRule="exact"/>
        <w:ind w:right="1470" w:rightChars="70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83.00万</w:t>
      </w:r>
      <w:r>
        <w:rPr>
          <w:rFonts w:hint="default" w:ascii="仿宋_GB2312" w:hAnsi="仿宋_GB2312" w:eastAsia="仿宋_GB2312" w:cs="仿宋_GB2312"/>
          <w:color w:val="auto"/>
          <w:sz w:val="32"/>
          <w:szCs w:val="32"/>
          <w:highlight w:val="none"/>
          <w:lang w:val="en-US" w:eastAsia="zh-CN"/>
        </w:rPr>
        <w:t>，其中各单项报价不得超过对应限额</w:t>
      </w:r>
    </w:p>
    <w:tbl>
      <w:tblPr>
        <w:tblStyle w:val="8"/>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767"/>
        <w:gridCol w:w="795"/>
        <w:gridCol w:w="755"/>
        <w:gridCol w:w="1231"/>
        <w:gridCol w:w="3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类别</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限额（元）</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84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设备租赁</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音箱灯光及控制台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25 </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200000 </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租赁25场；对音箱品牌等技术要求：</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线阵音响品牌</w:t>
            </w:r>
            <w:r>
              <w:rPr>
                <w:rFonts w:hint="default" w:ascii="宋体" w:hAnsi="宋体" w:eastAsia="宋体" w:cs="宋体"/>
                <w:i w:val="0"/>
                <w:iCs w:val="0"/>
                <w:color w:val="000000"/>
                <w:kern w:val="0"/>
                <w:sz w:val="28"/>
                <w:szCs w:val="28"/>
                <w:u w:val="none"/>
                <w:lang w:val="en" w:eastAsia="zh-CN" w:bidi="ar"/>
              </w:rPr>
              <w:t>：</w:t>
            </w:r>
            <w:r>
              <w:rPr>
                <w:rFonts w:hint="eastAsia" w:ascii="宋体" w:hAnsi="宋体" w:eastAsia="宋体" w:cs="宋体"/>
                <w:i w:val="0"/>
                <w:iCs w:val="0"/>
                <w:color w:val="000000"/>
                <w:kern w:val="0"/>
                <w:sz w:val="28"/>
                <w:szCs w:val="28"/>
                <w:u w:val="none"/>
                <w:lang w:val="en-US" w:eastAsia="zh-CN" w:bidi="ar"/>
              </w:rPr>
              <w:t>声扬</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数字智能控台</w:t>
            </w:r>
            <w:r>
              <w:rPr>
                <w:rFonts w:hint="default" w:ascii="宋体" w:hAnsi="宋体" w:eastAsia="宋体" w:cs="宋体"/>
                <w:i w:val="0"/>
                <w:iCs w:val="0"/>
                <w:color w:val="000000"/>
                <w:kern w:val="0"/>
                <w:sz w:val="28"/>
                <w:szCs w:val="28"/>
                <w:u w:val="none"/>
                <w:lang w:val="en" w:eastAsia="zh-CN" w:bidi="ar"/>
              </w:rPr>
              <w:t>：</w:t>
            </w:r>
            <w:r>
              <w:rPr>
                <w:rFonts w:hint="eastAsia" w:ascii="宋体" w:hAnsi="宋体" w:eastAsia="宋体" w:cs="宋体"/>
                <w:i w:val="0"/>
                <w:iCs w:val="0"/>
                <w:color w:val="000000"/>
                <w:kern w:val="0"/>
                <w:sz w:val="28"/>
                <w:szCs w:val="28"/>
                <w:u w:val="none"/>
                <w:lang w:val="en-US" w:eastAsia="zh-CN" w:bidi="ar"/>
              </w:rPr>
              <w:t>迈达斯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无线话筒及耳麦</w:t>
            </w:r>
            <w:r>
              <w:rPr>
                <w:rFonts w:hint="default" w:ascii="宋体" w:hAnsi="宋体" w:eastAsia="宋体" w:cs="宋体"/>
                <w:i w:val="0"/>
                <w:iCs w:val="0"/>
                <w:color w:val="000000"/>
                <w:kern w:val="0"/>
                <w:sz w:val="28"/>
                <w:szCs w:val="28"/>
                <w:u w:val="none"/>
                <w:lang w:val="en" w:eastAsia="zh-CN" w:bidi="ar"/>
              </w:rPr>
              <w:t>：</w:t>
            </w:r>
            <w:r>
              <w:rPr>
                <w:rFonts w:hint="eastAsia" w:ascii="宋体" w:hAnsi="宋体" w:eastAsia="宋体" w:cs="宋体"/>
                <w:i w:val="0"/>
                <w:iCs w:val="0"/>
                <w:color w:val="000000"/>
                <w:kern w:val="0"/>
                <w:sz w:val="28"/>
                <w:szCs w:val="28"/>
                <w:u w:val="none"/>
                <w:lang w:val="en-US" w:eastAsia="zh-CN" w:bidi="ar"/>
              </w:rPr>
              <w:t>洛希克</w:t>
            </w:r>
            <w:bookmarkStart w:id="0" w:name="_GoBack"/>
            <w:bookmarkEnd w:id="0"/>
            <w:r>
              <w:rPr>
                <w:rFonts w:hint="eastAsia" w:ascii="宋体" w:hAnsi="宋体" w:eastAsia="宋体" w:cs="宋体"/>
                <w:i w:val="0"/>
                <w:iCs w:val="0"/>
                <w:color w:val="000000"/>
                <w:kern w:val="0"/>
                <w:sz w:val="28"/>
                <w:szCs w:val="28"/>
                <w:u w:val="none"/>
                <w:lang w:val="en-US" w:eastAsia="zh-CN" w:bidi="ar"/>
              </w:rPr>
              <w:t xml:space="preserve">         灯</w:t>
            </w:r>
            <w:r>
              <w:rPr>
                <w:rFonts w:hint="default" w:ascii="宋体" w:hAnsi="宋体" w:eastAsia="宋体" w:cs="宋体"/>
                <w:i w:val="0"/>
                <w:iCs w:val="0"/>
                <w:color w:val="000000"/>
                <w:kern w:val="0"/>
                <w:sz w:val="28"/>
                <w:szCs w:val="28"/>
                <w:u w:val="none"/>
                <w:lang w:val="en" w:eastAsia="zh-CN" w:bidi="ar"/>
              </w:rPr>
              <w:t>：</w:t>
            </w:r>
            <w:r>
              <w:rPr>
                <w:rFonts w:hint="eastAsia" w:ascii="宋体" w:hAnsi="宋体" w:eastAsia="宋体" w:cs="宋体"/>
                <w:i w:val="0"/>
                <w:iCs w:val="0"/>
                <w:color w:val="000000"/>
                <w:kern w:val="0"/>
                <w:sz w:val="28"/>
                <w:szCs w:val="28"/>
                <w:u w:val="none"/>
                <w:lang w:val="en-US" w:eastAsia="zh-CN" w:bidi="ar"/>
              </w:rPr>
              <w:t>大歌轰天炮</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润色灯</w:t>
            </w:r>
            <w:r>
              <w:rPr>
                <w:rFonts w:hint="default" w:ascii="宋体" w:hAnsi="宋体" w:eastAsia="宋体" w:cs="宋体"/>
                <w:i w:val="0"/>
                <w:iCs w:val="0"/>
                <w:color w:val="000000"/>
                <w:kern w:val="0"/>
                <w:sz w:val="28"/>
                <w:szCs w:val="28"/>
                <w:u w:val="none"/>
                <w:lang w:val="en" w:eastAsia="zh-CN" w:bidi="ar"/>
              </w:rPr>
              <w:t>：</w:t>
            </w:r>
            <w:r>
              <w:rPr>
                <w:rFonts w:hint="eastAsia" w:ascii="宋体" w:hAnsi="宋体" w:eastAsia="宋体" w:cs="宋体"/>
                <w:i w:val="0"/>
                <w:iCs w:val="0"/>
                <w:color w:val="000000"/>
                <w:kern w:val="0"/>
                <w:sz w:val="28"/>
                <w:szCs w:val="28"/>
                <w:u w:val="none"/>
                <w:lang w:val="en-US" w:eastAsia="zh-CN" w:bidi="ar"/>
              </w:rPr>
              <w:t>捷创18珠全彩</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面光灯</w:t>
            </w:r>
            <w:r>
              <w:rPr>
                <w:rFonts w:hint="default" w:ascii="宋体" w:hAnsi="宋体" w:eastAsia="宋体" w:cs="宋体"/>
                <w:i w:val="0"/>
                <w:iCs w:val="0"/>
                <w:color w:val="000000"/>
                <w:kern w:val="0"/>
                <w:sz w:val="28"/>
                <w:szCs w:val="28"/>
                <w:u w:val="none"/>
                <w:lang w:val="en" w:eastAsia="zh-CN" w:bidi="ar"/>
              </w:rPr>
              <w:t>：</w:t>
            </w:r>
            <w:r>
              <w:rPr>
                <w:rFonts w:hint="eastAsia" w:ascii="宋体" w:hAnsi="宋体" w:eastAsia="宋体" w:cs="宋体"/>
                <w:i w:val="0"/>
                <w:iCs w:val="0"/>
                <w:color w:val="000000"/>
                <w:kern w:val="0"/>
                <w:sz w:val="28"/>
                <w:szCs w:val="28"/>
                <w:u w:val="none"/>
                <w:lang w:val="en-US" w:eastAsia="zh-CN" w:bidi="ar"/>
              </w:rPr>
              <w:t>捷创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椅子租赁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25 </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20000 </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一场200个椅子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4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舞台舞美</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喷绘背景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 </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1200 </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背景桁架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 </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800 </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加黑底防曝光喷绘布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舞台搭建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25 </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162500 </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铝合金框架加实木板套管舞台（尺寸10*5）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演出费用</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主持人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25 </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20000 </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节目（包括舞蹈、歌曲、快板、相声、魔术、小品等）演出费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 </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375000 </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一场10个节目（包括外购及社区节目）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4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物料摄影</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摄影（含设备）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25 </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30000 </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节目单制印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25 </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8000 </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每场200张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运输</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运输车辆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25 </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趟</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12500 </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25趟往返运输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8"/>
                <w:szCs w:val="2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8"/>
                <w:szCs w:val="28"/>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830000</w:t>
            </w:r>
          </w:p>
        </w:tc>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五、</w:t>
      </w:r>
      <w:r>
        <w:rPr>
          <w:rFonts w:hint="eastAsia" w:ascii="黑体" w:hAnsi="黑体" w:eastAsia="黑体" w:cs="黑体"/>
          <w:color w:val="auto"/>
          <w:sz w:val="32"/>
          <w:szCs w:val="32"/>
          <w:highlight w:val="none"/>
        </w:rPr>
        <w:t>供应商的资质要求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val="en-US" w:eastAsia="zh-CN"/>
        </w:rPr>
        <w:t>1.</w:t>
      </w:r>
      <w:r>
        <w:rPr>
          <w:rFonts w:hint="eastAsia" w:ascii="仿宋_GB2312" w:hAnsi="仿宋" w:eastAsia="仿宋_GB2312" w:cs="仿宋"/>
          <w:color w:val="auto"/>
          <w:sz w:val="32"/>
          <w:szCs w:val="32"/>
          <w:highlight w:val="none"/>
        </w:rPr>
        <w:t>在中国境内注册的独立法人或其他组织（提供营业执照、事业法人证书、社会团体法人登记证书等扫描件）；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2.</w:t>
      </w:r>
      <w:r>
        <w:rPr>
          <w:rFonts w:hint="eastAsia" w:ascii="仿宋_GB2312" w:hAnsi="仿宋" w:eastAsia="仿宋_GB2312" w:cs="仿宋"/>
          <w:color w:val="auto"/>
          <w:sz w:val="32"/>
          <w:szCs w:val="32"/>
          <w:highlight w:val="none"/>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color w:val="auto"/>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lang w:eastAsia="zh-CN"/>
        </w:rPr>
        <w:t>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olor w:val="auto"/>
          <w:sz w:val="32"/>
          <w:highlight w:val="none"/>
          <w:lang w:val="en-US" w:eastAsia="zh-CN"/>
        </w:rPr>
      </w:pPr>
      <w:r>
        <w:rPr>
          <w:rFonts w:hint="eastAsia" w:ascii="仿宋_GB2312" w:hAnsi="仿宋" w:eastAsia="仿宋_GB2312"/>
          <w:color w:val="auto"/>
          <w:sz w:val="32"/>
          <w:highlight w:val="none"/>
          <w:lang w:val="en-US" w:eastAsia="zh-CN"/>
        </w:rPr>
        <w:t>综合评分法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七、评分要求</w:t>
      </w:r>
    </w:p>
    <w:p>
      <w:pPr>
        <w:pStyle w:val="12"/>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（一）评分规则</w:t>
      </w:r>
    </w:p>
    <w:p>
      <w:pPr>
        <w:spacing w:line="560" w:lineRule="exact"/>
        <w:ind w:firstLine="640" w:firstLineChars="200"/>
        <w:jc w:val="both"/>
        <w:rPr>
          <w:rFonts w:hint="eastAsia" w:ascii="楷体_GB2312" w:hAnsi="楷体_GB2312" w:eastAsia="楷体_GB2312" w:cs="楷体_GB2312"/>
          <w:b w:val="0"/>
          <w:bCs/>
          <w:color w:val="000000"/>
          <w:sz w:val="32"/>
          <w:szCs w:val="32"/>
          <w:lang w:eastAsia="zh-CN"/>
        </w:rPr>
      </w:pPr>
      <w:r>
        <w:rPr>
          <w:rFonts w:hint="eastAsia" w:ascii="仿宋_GB2312" w:eastAsia="仿宋_GB2312"/>
          <w:color w:val="000000"/>
          <w:sz w:val="32"/>
          <w:szCs w:val="32"/>
        </w:rPr>
        <w:t>采取综合评分标准，</w:t>
      </w:r>
      <w:r>
        <w:rPr>
          <w:rFonts w:hint="eastAsia" w:ascii="仿宋_GB2312" w:eastAsia="仿宋_GB2312"/>
          <w:color w:val="000000"/>
          <w:sz w:val="32"/>
          <w:szCs w:val="32"/>
          <w:lang w:eastAsia="zh-CN"/>
        </w:rPr>
        <w:t>平均分</w:t>
      </w:r>
      <w:r>
        <w:rPr>
          <w:rFonts w:hint="eastAsia" w:ascii="仿宋_GB2312" w:eastAsia="仿宋_GB2312"/>
          <w:color w:val="000000"/>
          <w:sz w:val="32"/>
          <w:szCs w:val="32"/>
        </w:rPr>
        <w:t>最高的投标人为本项目中标人。</w:t>
      </w:r>
    </w:p>
    <w:p>
      <w:pPr>
        <w:pStyle w:val="1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（二）</w:t>
      </w:r>
      <w:r>
        <w:rPr>
          <w:rFonts w:hint="eastAsia" w:ascii="楷体_GB2312" w:hAnsi="楷体_GB2312" w:eastAsia="楷体_GB2312" w:cs="楷体_GB2312"/>
          <w:b w:val="0"/>
          <w:bCs/>
          <w:color w:val="000000"/>
          <w:sz w:val="32"/>
          <w:szCs w:val="32"/>
        </w:rPr>
        <w:t>评分权重</w:t>
      </w:r>
    </w:p>
    <w:tbl>
      <w:tblPr>
        <w:tblStyle w:val="8"/>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146"/>
        <w:gridCol w:w="244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2146"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商务能力</w:t>
            </w: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技术能力</w:t>
            </w:r>
          </w:p>
        </w:tc>
        <w:tc>
          <w:tcPr>
            <w:tcW w:w="250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2146"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w:t>
            </w:r>
            <w:r>
              <w:rPr>
                <w:rFonts w:hint="eastAsia" w:ascii="仿宋_GB2312" w:hAnsi="仿宋_GB2312" w:eastAsia="仿宋_GB2312" w:cs="仿宋_GB2312"/>
                <w:b w:val="0"/>
                <w:bCs/>
                <w:color w:val="auto"/>
                <w:sz w:val="24"/>
                <w:szCs w:val="24"/>
                <w:highlight w:val="none"/>
              </w:rPr>
              <w:t>分</w:t>
            </w: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40</w:t>
            </w:r>
            <w:r>
              <w:rPr>
                <w:rFonts w:hint="eastAsia" w:ascii="仿宋_GB2312" w:hAnsi="仿宋_GB2312" w:eastAsia="仿宋_GB2312" w:cs="仿宋_GB2312"/>
                <w:b w:val="0"/>
                <w:bCs/>
                <w:color w:val="auto"/>
                <w:sz w:val="24"/>
                <w:szCs w:val="24"/>
                <w:highlight w:val="none"/>
              </w:rPr>
              <w:t>分</w:t>
            </w:r>
          </w:p>
        </w:tc>
        <w:tc>
          <w:tcPr>
            <w:tcW w:w="250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default" w:ascii="仿宋_GB2312" w:hAnsi="仿宋_GB2312" w:eastAsia="仿宋_GB2312" w:cs="仿宋_GB2312"/>
                <w:b w:val="0"/>
                <w:bCs/>
                <w:color w:val="auto"/>
                <w:sz w:val="24"/>
                <w:szCs w:val="24"/>
                <w:highlight w:val="none"/>
                <w:lang w:val="en-US" w:eastAsia="zh-CN"/>
              </w:rPr>
              <w:t>3</w:t>
            </w:r>
            <w:r>
              <w:rPr>
                <w:rFonts w:hint="eastAsia" w:ascii="仿宋_GB2312" w:hAnsi="仿宋_GB2312" w:eastAsia="仿宋_GB2312" w:cs="仿宋_GB2312"/>
                <w:b w:val="0"/>
                <w:bCs/>
                <w:color w:val="auto"/>
                <w:sz w:val="24"/>
                <w:szCs w:val="24"/>
                <w:highlight w:val="none"/>
                <w:lang w:val="en-US" w:eastAsia="zh-CN"/>
              </w:rPr>
              <w:t>0分</w:t>
            </w:r>
          </w:p>
        </w:tc>
      </w:tr>
    </w:tbl>
    <w:p>
      <w:pPr>
        <w:pStyle w:val="12"/>
        <w:spacing w:line="560" w:lineRule="exact"/>
        <w:ind w:firstLine="640" w:firstLineChars="200"/>
        <w:rPr>
          <w:rFonts w:hint="eastAsia" w:ascii="仿宋_GB2312" w:eastAsia="仿宋_GB2312"/>
          <w:color w:val="auto"/>
          <w:sz w:val="32"/>
          <w:szCs w:val="32"/>
          <w:highlight w:val="none"/>
          <w:lang w:val="en-US" w:eastAsia="zh-CN"/>
        </w:rPr>
      </w:pPr>
      <w:r>
        <w:rPr>
          <w:rFonts w:hint="eastAsia" w:ascii="楷体_GB2312" w:hAnsi="楷体_GB2312" w:eastAsia="楷体_GB2312" w:cs="楷体_GB2312"/>
          <w:b w:val="0"/>
          <w:bCs/>
          <w:color w:val="000000"/>
          <w:sz w:val="32"/>
          <w:szCs w:val="32"/>
          <w:highlight w:val="none"/>
          <w:lang w:eastAsia="zh-CN"/>
        </w:rPr>
        <w:t>（三）评分标准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1.商务能力</w:t>
      </w: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3628"/>
        <w:gridCol w:w="3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269"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3482"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商务</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35</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p>
        </w:tc>
        <w:tc>
          <w:tcPr>
            <w:tcW w:w="11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同类项目经验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36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具有</w:t>
            </w:r>
            <w:r>
              <w:rPr>
                <w:rFonts w:hint="eastAsia" w:ascii="仿宋_GB2312" w:hAnsi="仿宋_GB2312" w:eastAsia="仿宋_GB2312" w:cs="仿宋_GB2312"/>
                <w:b w:val="0"/>
                <w:bCs/>
                <w:color w:val="auto"/>
                <w:sz w:val="24"/>
                <w:szCs w:val="24"/>
                <w:highlight w:val="none"/>
                <w:lang w:val="en-US" w:eastAsia="zh-CN"/>
              </w:rPr>
              <w:t>承接类似项目</w:t>
            </w:r>
            <w:r>
              <w:rPr>
                <w:rFonts w:hint="eastAsia" w:ascii="仿宋_GB2312" w:hAnsi="仿宋_GB2312" w:eastAsia="仿宋_GB2312" w:cs="仿宋_GB2312"/>
                <w:b w:val="0"/>
                <w:bCs/>
                <w:color w:val="auto"/>
                <w:sz w:val="24"/>
                <w:szCs w:val="24"/>
                <w:highlight w:val="none"/>
                <w:lang w:eastAsia="zh-CN"/>
              </w:rPr>
              <w:t>的丰富经验</w:t>
            </w:r>
            <w:r>
              <w:rPr>
                <w:rFonts w:hint="eastAsia" w:ascii="仿宋_GB2312" w:hAnsi="仿宋_GB2312" w:eastAsia="仿宋_GB2312" w:cs="仿宋_GB2312"/>
                <w:b w:val="0"/>
                <w:bCs/>
                <w:color w:val="auto"/>
                <w:sz w:val="24"/>
                <w:szCs w:val="24"/>
                <w:highlight w:val="none"/>
                <w:lang w:val="en-US" w:eastAsia="zh-CN"/>
              </w:rPr>
              <w:t>，提供至少1个以上过往活动合同关键页；</w:t>
            </w:r>
            <w:r>
              <w:rPr>
                <w:rFonts w:hint="eastAsia" w:ascii="仿宋_GB2312" w:hAnsi="仿宋_GB2312" w:eastAsia="仿宋_GB2312" w:cs="仿宋_GB2312"/>
                <w:b w:val="0"/>
                <w:bCs/>
                <w:color w:val="auto"/>
                <w:sz w:val="24"/>
                <w:szCs w:val="24"/>
                <w:highlight w:val="none"/>
              </w:rPr>
              <w:t>每提供一项以往</w:t>
            </w:r>
            <w:r>
              <w:rPr>
                <w:rFonts w:hint="eastAsia" w:ascii="仿宋_GB2312" w:hAnsi="仿宋_GB2312" w:eastAsia="仿宋_GB2312" w:cs="仿宋_GB2312"/>
                <w:b w:val="0"/>
                <w:bCs/>
                <w:color w:val="auto"/>
                <w:sz w:val="24"/>
                <w:szCs w:val="24"/>
                <w:highlight w:val="none"/>
                <w:lang w:eastAsia="zh-CN"/>
              </w:rPr>
              <w:t>同类</w:t>
            </w:r>
            <w:r>
              <w:rPr>
                <w:rFonts w:hint="eastAsia" w:ascii="仿宋_GB2312" w:hAnsi="仿宋_GB2312" w:eastAsia="仿宋_GB2312" w:cs="仿宋_GB2312"/>
                <w:b w:val="0"/>
                <w:bCs/>
                <w:color w:val="auto"/>
                <w:sz w:val="24"/>
                <w:szCs w:val="24"/>
                <w:highlight w:val="none"/>
              </w:rPr>
              <w:t>项目</w:t>
            </w:r>
            <w:r>
              <w:rPr>
                <w:rFonts w:hint="eastAsia" w:ascii="仿宋_GB2312" w:hAnsi="仿宋_GB2312" w:eastAsia="仿宋_GB2312" w:cs="仿宋_GB2312"/>
                <w:b w:val="0"/>
                <w:bCs/>
                <w:color w:val="auto"/>
                <w:sz w:val="24"/>
                <w:szCs w:val="24"/>
                <w:highlight w:val="none"/>
                <w:lang w:val="en-US" w:eastAsia="zh-CN"/>
              </w:rPr>
              <w:t>证明材料</w:t>
            </w:r>
            <w:r>
              <w:rPr>
                <w:rFonts w:hint="eastAsia" w:ascii="仿宋_GB2312" w:hAnsi="仿宋_GB2312" w:eastAsia="仿宋_GB2312" w:cs="仿宋_GB2312"/>
                <w:b w:val="0"/>
                <w:bCs/>
                <w:color w:val="auto"/>
                <w:sz w:val="24"/>
                <w:szCs w:val="24"/>
                <w:highlight w:val="none"/>
              </w:rPr>
              <w:t>得</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本项最高得分为</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提供往期活动合同关键页</w:t>
            </w:r>
            <w:r>
              <w:rPr>
                <w:rFonts w:hint="eastAsia" w:ascii="仿宋_GB2312" w:hAnsi="仿宋_GB2312" w:eastAsia="仿宋_GB2312" w:cs="仿宋_GB2312"/>
                <w:b w:val="0"/>
                <w:bCs/>
                <w:color w:val="auto"/>
                <w:sz w:val="24"/>
                <w:szCs w:val="24"/>
                <w:highlight w:val="none"/>
                <w:lang w:eastAsia="zh-CN"/>
              </w:rPr>
              <w:t>佐证材料。（同个合作方、同个项目续签不累计加分）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7"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eastAsia="zh-CN"/>
              </w:rPr>
              <w:t>拟安排的项目团队成员情况（</w:t>
            </w:r>
            <w:r>
              <w:rPr>
                <w:rFonts w:hint="eastAsia" w:ascii="仿宋_GB2312" w:hAnsi="仿宋_GB2312" w:eastAsia="仿宋_GB2312" w:cs="仿宋_GB2312"/>
                <w:b w:val="0"/>
                <w:bCs/>
                <w:color w:val="auto"/>
                <w:sz w:val="24"/>
                <w:szCs w:val="24"/>
                <w:highlight w:val="none"/>
                <w:lang w:val="en-US" w:eastAsia="zh-CN"/>
              </w:rPr>
              <w:t>10分）</w:t>
            </w:r>
          </w:p>
        </w:tc>
        <w:tc>
          <w:tcPr>
            <w:tcW w:w="36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1.具备艺术相关专业大专或以上学历的，每提供一个得1分，最高得5分；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2.团队成员参与过艺术类经验的，每提供团队人员参与的项目经验的，得1分，最高得5分。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以上两项同一人可累计得分，两项累计总分最高得10分。</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1.提供项目团队成员学位证书、毕业证书（须体现专业类别）扫描件或复印件；提供类似经验合作证明或相关资料，扫描件或复印件。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2.未提供证明材料或者提供的证明材料不符合要求或提供的证明材料不清晰评审专家无法辨认的，不得分。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eastAsia="zh-CN"/>
              </w:rPr>
              <w:t>诚信评价（</w:t>
            </w:r>
            <w:r>
              <w:rPr>
                <w:rFonts w:hint="eastAsia" w:ascii="仿宋_GB2312" w:hAnsi="仿宋_GB2312" w:eastAsia="仿宋_GB2312" w:cs="仿宋_GB2312"/>
                <w:b w:val="0"/>
                <w:bCs/>
                <w:color w:val="auto"/>
                <w:sz w:val="24"/>
                <w:szCs w:val="24"/>
                <w:highlight w:val="none"/>
                <w:lang w:val="en-US" w:eastAsia="zh-CN"/>
              </w:rPr>
              <w:t>5分</w:t>
            </w:r>
            <w:r>
              <w:rPr>
                <w:rFonts w:hint="eastAsia" w:ascii="仿宋_GB2312" w:hAnsi="仿宋_GB2312" w:eastAsia="仿宋_GB2312" w:cs="仿宋_GB2312"/>
                <w:b w:val="0"/>
                <w:bCs/>
                <w:color w:val="auto"/>
                <w:sz w:val="24"/>
                <w:szCs w:val="24"/>
                <w:highlight w:val="none"/>
                <w:lang w:eastAsia="zh-CN"/>
              </w:rPr>
              <w:t>）</w:t>
            </w:r>
          </w:p>
        </w:tc>
        <w:tc>
          <w:tcPr>
            <w:tcW w:w="3628" w:type="dxa"/>
            <w:noWrap w:val="0"/>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eastAsia="zh-CN"/>
              </w:rPr>
              <w:t>投标人在参与政府采购活动中不存在诚信相关问题且不在主管部门相关处理措施实施期限内的。</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提供《诚信承诺函》得5分，未提供不得分。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7" w:hRule="atLeast"/>
        </w:trPr>
        <w:tc>
          <w:tcPr>
            <w:tcW w:w="519"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6"/>
                <w:szCs w:val="26"/>
                <w:u w:val="none"/>
                <w:lang w:val="en-US" w:eastAsia="zh-CN" w:bidi="ar-SA"/>
              </w:rPr>
            </w:pPr>
            <w:r>
              <w:rPr>
                <w:rFonts w:hint="eastAsia" w:ascii="仿宋_GB2312" w:hAnsi="仿宋_GB2312" w:eastAsia="仿宋_GB2312" w:cs="仿宋_GB2312"/>
                <w:b w:val="0"/>
                <w:bCs/>
                <w:color w:val="auto"/>
                <w:sz w:val="24"/>
                <w:szCs w:val="24"/>
                <w:highlight w:val="none"/>
                <w:lang w:val="en-US" w:eastAsia="zh-CN"/>
              </w:rPr>
              <w:t>服务承诺书和违约承诺书（5分）</w:t>
            </w:r>
          </w:p>
        </w:tc>
        <w:tc>
          <w:tcPr>
            <w:tcW w:w="3628" w:type="dxa"/>
            <w:noWrap w:val="0"/>
            <w:vAlign w:val="center"/>
          </w:tcPr>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根据对项目的理解及自身管理经验，提出项目完成的服务承诺与违约承诺。</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提供《服务承诺函》和《违约承诺函》得5分，提供1项得2.5分，未提供不得分。</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2.技术能力</w:t>
      </w: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17"/>
        <w:gridCol w:w="3617"/>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253" w:type="dxa"/>
            <w:gridSpan w:val="3"/>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3498" w:type="dxa"/>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8"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技术能力</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val="en-US" w:eastAsia="zh-CN"/>
              </w:rPr>
              <w:t>50</w:t>
            </w:r>
            <w:r>
              <w:rPr>
                <w:rFonts w:hint="eastAsia" w:ascii="仿宋_GB2312" w:hAnsi="仿宋_GB2312" w:eastAsia="仿宋_GB2312" w:cs="仿宋_GB2312"/>
                <w:b w:val="0"/>
                <w:bCs/>
                <w:color w:val="auto"/>
                <w:sz w:val="24"/>
                <w:szCs w:val="24"/>
                <w:highlight w:val="none"/>
              </w:rPr>
              <w:t>分</w:t>
            </w:r>
          </w:p>
        </w:tc>
        <w:tc>
          <w:tcPr>
            <w:tcW w:w="1117"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实施方案（20分）</w:t>
            </w:r>
          </w:p>
        </w:tc>
        <w:tc>
          <w:tcPr>
            <w:tcW w:w="3617" w:type="dxa"/>
            <w:noWrap w:val="0"/>
            <w:vAlign w:val="center"/>
          </w:tcPr>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根据项目特点，针对服务需求分析、服务定位、服务内容、管理措施等要点进行项目整体设想和策划，编制实施方案。</w:t>
            </w:r>
          </w:p>
        </w:tc>
        <w:tc>
          <w:tcPr>
            <w:tcW w:w="3498" w:type="dxa"/>
            <w:noWrap w:val="0"/>
            <w:vAlign w:val="center"/>
          </w:tcPr>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从内容的覆盖面、科学性、针对性、可操作性等进行评价。本项最高得20分，评价为优得14-20分；评价为良得7-13分；评价为中得1-6分；评价为差不得分。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p>
        </w:tc>
        <w:tc>
          <w:tcPr>
            <w:tcW w:w="1117" w:type="dxa"/>
            <w:noWrap w:val="0"/>
            <w:vAlign w:val="center"/>
          </w:tcPr>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项目重点难点分析、应对措施及相关的合理化建议（10分）</w:t>
            </w:r>
          </w:p>
        </w:tc>
        <w:tc>
          <w:tcPr>
            <w:tcW w:w="3617"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考察对项目工作量、可完成度等重点难点问题的识别和分析能力，并就识别出的重点难点提出可行的应对措施及合理化建议。</w:t>
            </w:r>
          </w:p>
        </w:tc>
        <w:tc>
          <w:tcPr>
            <w:tcW w:w="3498"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6"/>
                <w:szCs w:val="26"/>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从内容的覆盖面、科学性、针对性、可操作性等进行评价。本项最高得10分，评价为优得7-10分；评价为良得3-6分；评价为中得1-3分；评价为差不得分。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trPr>
        <w:tc>
          <w:tcPr>
            <w:tcW w:w="519"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p>
        </w:tc>
        <w:tc>
          <w:tcPr>
            <w:tcW w:w="1117" w:type="dxa"/>
            <w:noWrap w:val="0"/>
            <w:vAlign w:val="center"/>
          </w:tcPr>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质量保障措施及方案（10分）</w:t>
            </w:r>
          </w:p>
        </w:tc>
        <w:tc>
          <w:tcPr>
            <w:tcW w:w="3617"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根据对项目的理解及自身管理经验，针对项目的需求制定的质量保障措施及方案,包含但不限于项目进度计划、质量和进度保障措施、活动保障措施等。</w:t>
            </w:r>
          </w:p>
        </w:tc>
        <w:tc>
          <w:tcPr>
            <w:tcW w:w="3498"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6"/>
                <w:szCs w:val="26"/>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从内容的覆盖面、科学性、针对性、可操作性等进行评价。本项最高得10分，评价为优得7-10分；评价为良得3-6分；评价为中得1-3分；评价为差不得分。</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3.报价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30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pStyle w:val="12"/>
        <w:spacing w:line="560" w:lineRule="exact"/>
        <w:ind w:firstLine="640"/>
        <w:rPr>
          <w:rFonts w:hint="eastAsia" w:ascii="楷体_GB2312" w:hAnsi="楷体_GB2312" w:eastAsia="楷体_GB2312" w:cs="楷体_GB2312"/>
          <w:b w:val="0"/>
          <w:bCs/>
          <w:color w:val="000000"/>
          <w:sz w:val="32"/>
          <w:szCs w:val="32"/>
          <w:highlight w:val="none"/>
          <w:lang w:val="en-US" w:eastAsia="zh-CN"/>
        </w:rPr>
      </w:pPr>
      <w:r>
        <w:rPr>
          <w:rFonts w:hint="eastAsia" w:ascii="楷体_GB2312" w:hAnsi="楷体_GB2312" w:eastAsia="楷体_GB2312" w:cs="楷体_GB2312"/>
          <w:b w:val="0"/>
          <w:bCs/>
          <w:color w:val="000000"/>
          <w:sz w:val="32"/>
          <w:szCs w:val="32"/>
          <w:highlight w:val="none"/>
          <w:lang w:val="en-US" w:eastAsia="zh-CN"/>
        </w:rPr>
        <w:t>（四）供应商提供资料清单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Times New Roman"/>
          <w:color w:val="auto"/>
          <w:sz w:val="32"/>
          <w:highlight w:val="none"/>
          <w:lang w:eastAsia="zh-CN"/>
        </w:rPr>
      </w:pPr>
      <w:r>
        <w:rPr>
          <w:rFonts w:hint="eastAsia" w:ascii="仿宋_GB2312" w:hAnsi="仿宋" w:eastAsia="仿宋_GB2312" w:cs="Times New Roman"/>
          <w:color w:val="auto"/>
          <w:sz w:val="32"/>
          <w:highlight w:val="none"/>
          <w:lang w:val="en-US" w:eastAsia="zh-CN"/>
        </w:rPr>
        <w:t>1.营业执照、</w:t>
      </w:r>
      <w:r>
        <w:rPr>
          <w:rFonts w:hint="eastAsia" w:ascii="仿宋_GB2312" w:hAnsi="仿宋" w:eastAsia="仿宋_GB2312" w:cs="Times New Roman"/>
          <w:color w:val="auto"/>
          <w:sz w:val="32"/>
          <w:highlight w:val="none"/>
        </w:rPr>
        <w:t>事业法人证书、社会团体法人登记证书</w:t>
      </w:r>
      <w:r>
        <w:rPr>
          <w:rFonts w:hint="eastAsia" w:ascii="仿宋_GB2312" w:hAnsi="仿宋" w:eastAsia="仿宋_GB2312" w:cs="Times New Roman"/>
          <w:color w:val="auto"/>
          <w:sz w:val="32"/>
          <w:highlight w:val="none"/>
          <w:lang w:eastAsia="zh-CN"/>
        </w:rPr>
        <w:t>（加盖公章）；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color w:val="auto"/>
          <w:highlight w:val="none"/>
          <w:lang w:val="en-US" w:eastAsia="zh-CN"/>
        </w:rPr>
      </w:pPr>
      <w:r>
        <w:rPr>
          <w:rFonts w:hint="eastAsia" w:ascii="仿宋_GB2312" w:hAnsi="仿宋" w:eastAsia="仿宋_GB2312" w:cs="Times New Roman"/>
          <w:color w:val="auto"/>
          <w:sz w:val="32"/>
          <w:highlight w:val="none"/>
          <w:lang w:val="en-US" w:eastAsia="zh-CN"/>
        </w:rPr>
        <w:t>2.法定代表人身份证复印件（加盖公章）；</w:t>
      </w:r>
    </w:p>
    <w:p>
      <w:pPr>
        <w:pStyle w:val="5"/>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3.项目报价清单（加盖公章）；</w:t>
      </w:r>
    </w:p>
    <w:p>
      <w:pPr>
        <w:pStyle w:val="5"/>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4.评分规则所需资料（同类业绩证明、方案等）。</w:t>
      </w:r>
    </w:p>
    <w:p>
      <w:pPr>
        <w:pStyle w:val="5"/>
        <w:keepNext w:val="0"/>
        <w:keepLines w:val="0"/>
        <w:pageBreakBefore w:val="0"/>
        <w:kinsoku/>
        <w:wordWrap/>
        <w:overflowPunct/>
        <w:topLinePunct w:val="0"/>
        <w:autoSpaceDE/>
        <w:autoSpaceDN/>
        <w:bidi w:val="0"/>
        <w:spacing w:line="560" w:lineRule="exact"/>
        <w:ind w:left="0" w:leftChars="0" w:firstLine="640" w:firstLineChars="0"/>
        <w:textAlignment w:val="auto"/>
        <w:rPr>
          <w:rFonts w:hint="default" w:ascii="仿宋_GB2312" w:hAnsi="仿宋" w:eastAsia="仿宋_GB2312" w:cs="Times New Roman"/>
          <w:color w:val="auto"/>
          <w:sz w:val="32"/>
          <w:highlight w:val="none"/>
          <w:lang w:val="en-US" w:eastAsia="zh-CN"/>
        </w:rPr>
      </w:pPr>
    </w:p>
    <w:p>
      <w:pPr>
        <w:pStyle w:val="5"/>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0"/>
        <w:jc w:val="left"/>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注：供应商需邮寄</w:t>
      </w:r>
      <w:r>
        <w:rPr>
          <w:rFonts w:hint="eastAsia" w:ascii="仿宋_GB2312" w:hAnsi="仿宋" w:eastAsia="仿宋_GB2312" w:cs="Times New Roman"/>
          <w:b/>
          <w:bCs/>
          <w:color w:val="FF0000"/>
          <w:sz w:val="32"/>
          <w:highlight w:val="none"/>
          <w:lang w:val="en-US" w:eastAsia="zh-CN"/>
        </w:rPr>
        <w:t>7份密封</w:t>
      </w:r>
      <w:r>
        <w:rPr>
          <w:rFonts w:hint="eastAsia" w:ascii="仿宋_GB2312" w:hAnsi="仿宋" w:eastAsia="仿宋_GB2312" w:cs="Times New Roman"/>
          <w:color w:val="auto"/>
          <w:sz w:val="32"/>
          <w:highlight w:val="none"/>
          <w:lang w:val="en-US" w:eastAsia="zh-CN"/>
        </w:rPr>
        <w:t>纸质版投标资料至本单位</w:t>
      </w:r>
    </w:p>
    <w:p>
      <w:pPr>
        <w:pStyle w:val="5"/>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292" w:firstLineChars="404"/>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地址：</w:t>
      </w:r>
      <w:r>
        <w:rPr>
          <w:rFonts w:hint="eastAsia" w:ascii="仿宋_GB2312" w:hAnsi="仿宋" w:eastAsia="仿宋_GB2312" w:cs="Times New Roman"/>
          <w:color w:val="auto"/>
          <w:kern w:val="2"/>
          <w:sz w:val="32"/>
          <w:szCs w:val="22"/>
          <w:highlight w:val="none"/>
          <w:lang w:val="en-US" w:eastAsia="zh-CN" w:bidi="ar-SA"/>
        </w:rPr>
        <w:t>深圳市龙华区维雅德大厦富康行政办公区</w:t>
      </w:r>
    </w:p>
    <w:p>
      <w:pPr>
        <w:pStyle w:val="5"/>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292" w:firstLineChars="404"/>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电话</w:t>
      </w:r>
      <w:r>
        <w:rPr>
          <w:rFonts w:hint="default" w:ascii="仿宋_GB2312" w:hAnsi="仿宋" w:eastAsia="仿宋_GB2312" w:cs="Times New Roman"/>
          <w:color w:val="auto"/>
          <w:sz w:val="32"/>
          <w:highlight w:val="none"/>
          <w:lang w:val="en" w:eastAsia="zh-CN"/>
        </w:rPr>
        <w:t>：</w:t>
      </w:r>
      <w:r>
        <w:rPr>
          <w:rFonts w:hint="eastAsia" w:ascii="仿宋_GB2312" w:hAnsi="仿宋" w:eastAsia="仿宋_GB2312" w:cs="Times New Roman"/>
          <w:color w:val="auto"/>
          <w:sz w:val="32"/>
          <w:highlight w:val="none"/>
          <w:lang w:val="en-US" w:eastAsia="zh-CN"/>
        </w:rPr>
        <w:t>0755-23338140</w:t>
      </w:r>
    </w:p>
    <w:p>
      <w:pPr>
        <w:pStyle w:val="5"/>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292" w:firstLineChars="404"/>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收件人：吴先生</w:t>
      </w: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F2227"/>
    <w:multiLevelType w:val="singleLevel"/>
    <w:tmpl w:val="A8BF22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zE1MDVmMDkwMGM2ZWJkNDg1MWZkMjQ3NjE0ODUifQ=="/>
  </w:docVars>
  <w:rsids>
    <w:rsidRoot w:val="00172A27"/>
    <w:rsid w:val="00675481"/>
    <w:rsid w:val="025365D0"/>
    <w:rsid w:val="041534A1"/>
    <w:rsid w:val="091F1C0E"/>
    <w:rsid w:val="0D613984"/>
    <w:rsid w:val="147249AB"/>
    <w:rsid w:val="15321C5A"/>
    <w:rsid w:val="174C70AF"/>
    <w:rsid w:val="18145C05"/>
    <w:rsid w:val="19C65FEC"/>
    <w:rsid w:val="1FC3400C"/>
    <w:rsid w:val="20A51EAE"/>
    <w:rsid w:val="22737F35"/>
    <w:rsid w:val="242157C3"/>
    <w:rsid w:val="24286ECC"/>
    <w:rsid w:val="251C73F2"/>
    <w:rsid w:val="25FA0A39"/>
    <w:rsid w:val="291160AF"/>
    <w:rsid w:val="2F67789D"/>
    <w:rsid w:val="341E1D1F"/>
    <w:rsid w:val="34E64EC5"/>
    <w:rsid w:val="357B722D"/>
    <w:rsid w:val="36B75B3C"/>
    <w:rsid w:val="388D2FD0"/>
    <w:rsid w:val="39E22233"/>
    <w:rsid w:val="3CB306F8"/>
    <w:rsid w:val="3E320799"/>
    <w:rsid w:val="417E1A2E"/>
    <w:rsid w:val="422C6665"/>
    <w:rsid w:val="424D331F"/>
    <w:rsid w:val="435F10A0"/>
    <w:rsid w:val="438A1650"/>
    <w:rsid w:val="463C1F4C"/>
    <w:rsid w:val="46BA7686"/>
    <w:rsid w:val="48157ACC"/>
    <w:rsid w:val="4CA30BBC"/>
    <w:rsid w:val="4EEF186B"/>
    <w:rsid w:val="4F4D689F"/>
    <w:rsid w:val="50EE61B9"/>
    <w:rsid w:val="52FB0B43"/>
    <w:rsid w:val="54723E94"/>
    <w:rsid w:val="55ED7BB1"/>
    <w:rsid w:val="59746C51"/>
    <w:rsid w:val="5BD8190D"/>
    <w:rsid w:val="5CB01C28"/>
    <w:rsid w:val="5F9448BD"/>
    <w:rsid w:val="61534507"/>
    <w:rsid w:val="61FD1D4F"/>
    <w:rsid w:val="68112812"/>
    <w:rsid w:val="6CFA6E95"/>
    <w:rsid w:val="6FDEDBAA"/>
    <w:rsid w:val="71EF273F"/>
    <w:rsid w:val="72991A9A"/>
    <w:rsid w:val="744C48FD"/>
    <w:rsid w:val="75B230F2"/>
    <w:rsid w:val="77EA626C"/>
    <w:rsid w:val="78AB3E04"/>
    <w:rsid w:val="793F69B9"/>
    <w:rsid w:val="7D8DBA67"/>
    <w:rsid w:val="7DE034F5"/>
    <w:rsid w:val="7FAC50B6"/>
    <w:rsid w:val="BFEBBF4E"/>
    <w:rsid w:val="FF9FB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60" w:lineRule="exact"/>
      <w:ind w:firstLine="643"/>
      <w:outlineLvl w:val="1"/>
    </w:pPr>
    <w:rPr>
      <w:rFonts w:ascii="Arial" w:hAnsi="Arial" w:eastAsia="黑体"/>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paragraph" w:styleId="5">
    <w:name w:val="Block Text"/>
    <w:basedOn w:val="1"/>
    <w:qFormat/>
    <w:uiPriority w:val="0"/>
    <w:pPr>
      <w:tabs>
        <w:tab w:val="left" w:pos="426"/>
      </w:tabs>
      <w:spacing w:after="120"/>
      <w:ind w:left="1440" w:leftChars="700" w:right="1440" w:rightChars="700"/>
    </w:pPr>
  </w:style>
  <w:style w:type="paragraph" w:styleId="6">
    <w:name w:val="Plain Text"/>
    <w:basedOn w:val="1"/>
    <w:unhideWhenUsed/>
    <w:qFormat/>
    <w:uiPriority w:val="99"/>
    <w:rPr>
      <w:rFonts w:ascii="宋体" w:hAnsi="Calibri" w:cs="Courier New"/>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paragraph" w:customStyle="1" w:styleId="12">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Pages>
  <Words>2196</Words>
  <Characters>2351</Characters>
  <Lines>0</Lines>
  <Paragraphs>0</Paragraphs>
  <TotalTime>14</TotalTime>
  <ScaleCrop>false</ScaleCrop>
  <LinksUpToDate>false</LinksUpToDate>
  <CharactersWithSpaces>2383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李春朝</dc:creator>
  <cp:lastModifiedBy>lxy</cp:lastModifiedBy>
  <cp:lastPrinted>2024-05-14T22:49:00Z</cp:lastPrinted>
  <dcterms:modified xsi:type="dcterms:W3CDTF">2024-05-30T17:36:17Z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33681A32CDDA41F5AADB72BEB5F52030_13</vt:lpwstr>
  </property>
</Properties>
</file>