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文化名人大营救史料挖掘</w:t>
      </w:r>
      <w:r>
        <w:rPr>
          <w:rFonts w:hint="eastAsia" w:ascii="方正小标宋简体" w:hAnsi="方正小标宋简体" w:eastAsia="方正小标宋简体" w:cs="方正小标宋简体"/>
          <w:sz w:val="44"/>
          <w:szCs w:val="44"/>
          <w:lang w:eastAsia="zh-CN"/>
        </w:rPr>
        <w:t>项目需求书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项目目标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深入挖掘保护深圳龙华白石龙红色资源，形成白石龙文化名人大营救史料汇编，让文化名人大营救历史有物可看，进一步弘扬革命精神，培养群众爱国主义情怀，促进粤港澳大湾区文化协同发展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服务时间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2024年6月-12月（</w:t>
      </w:r>
      <w:r>
        <w:rPr>
          <w:rFonts w:hint="eastAsia" w:ascii="仿宋_GB2312" w:hAnsi="仿宋_GB2312" w:eastAsia="仿宋_GB2312" w:cs="仿宋_GB2312"/>
          <w:color w:val="auto"/>
          <w:sz w:val="32"/>
          <w:szCs w:val="32"/>
          <w:lang w:eastAsia="zh-CN"/>
        </w:rPr>
        <w:t>拟定</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项目内容及要求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活动地点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中国文化名人大营救纪念馆（拟定）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采购服务需求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搜集和整理</w:t>
      </w:r>
      <w:r>
        <w:rPr>
          <w:rFonts w:hint="eastAsia" w:ascii="仿宋_GB2312" w:hAnsi="仿宋_GB2312" w:eastAsia="仿宋_GB2312" w:cs="仿宋_GB2312"/>
          <w:color w:val="auto"/>
          <w:sz w:val="32"/>
          <w:szCs w:val="32"/>
          <w:lang w:eastAsia="zh-CN"/>
        </w:rPr>
        <w:t>文化名人大营救期间所营救</w:t>
      </w:r>
      <w:r>
        <w:rPr>
          <w:rFonts w:hint="eastAsia" w:ascii="仿宋_GB2312" w:hAnsi="仿宋_GB2312" w:eastAsia="仿宋_GB2312" w:cs="仿宋_GB2312"/>
          <w:color w:val="auto"/>
          <w:sz w:val="32"/>
          <w:szCs w:val="32"/>
          <w:lang w:val="en-US" w:eastAsia="zh-CN"/>
        </w:rPr>
        <w:t>800多位</w:t>
      </w:r>
      <w:r>
        <w:rPr>
          <w:rFonts w:hint="eastAsia" w:ascii="仿宋_GB2312" w:hAnsi="仿宋_GB2312" w:eastAsia="仿宋_GB2312" w:cs="仿宋_GB2312"/>
          <w:color w:val="auto"/>
          <w:sz w:val="32"/>
          <w:szCs w:val="32"/>
        </w:rPr>
        <w:t>文化名人在特定历史时期的营救资料，包括文字、图片、影像等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访谈相关见证人，收集相关资料，采购文化名人著作、对名人相关文物进行采购和复制；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前往相关历史地点进行实地考察，挖掘潜在史料，与各地场馆建立联系，共同开展交流工作。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对史料进行整理、校勘、注释，确保史料的真实性和准确性</w:t>
      </w:r>
      <w:r>
        <w:rPr>
          <w:rFonts w:hint="eastAsia" w:ascii="仿宋_GB2312" w:hAnsi="仿宋_GB2312" w:eastAsia="仿宋_GB2312" w:cs="仿宋_GB2312"/>
          <w:color w:val="auto"/>
          <w:sz w:val="32"/>
          <w:szCs w:val="32"/>
          <w:lang w:eastAsia="zh-CN"/>
        </w:rPr>
        <w:t>；以上史料挖掘所得资料资产所属权归本项目采购方所有</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报价限额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项目总报价不超过30万元，其中各子项报价不得超过对应的单项限额。</w:t>
      </w:r>
    </w:p>
    <w:tbl>
      <w:tblPr>
        <w:tblStyle w:val="9"/>
        <w:tblW w:w="49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455"/>
        <w:gridCol w:w="3998"/>
        <w:gridCol w:w="1035"/>
        <w:gridCol w:w="1170"/>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序号</w:t>
            </w:r>
          </w:p>
        </w:tc>
        <w:tc>
          <w:tcPr>
            <w:tcW w:w="24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项目</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数量</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单位</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单项限额（元）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史料挖掘费</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采购文化名人书籍、图片</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1000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册</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复刻书籍、文物（含人工费、制作费、物料费、文物史料保护费等）</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50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本/件</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征集文物</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件</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w:t>
            </w:r>
            <w:r>
              <w:rPr>
                <w:rFonts w:hint="eastAsia" w:ascii="方正仿宋_GB2312" w:hAnsi="方正仿宋_GB2312" w:eastAsia="方正仿宋_GB2312" w:cs="方正仿宋_GB2312"/>
                <w:i w:val="0"/>
                <w:color w:val="000000"/>
                <w:kern w:val="0"/>
                <w:sz w:val="24"/>
                <w:szCs w:val="24"/>
                <w:highlight w:val="none"/>
                <w:u w:val="none"/>
                <w:lang w:val="en-US" w:eastAsia="zh-CN" w:bidi="ar"/>
              </w:rPr>
              <w:t>98</w:t>
            </w: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赴市外挖掘史料专家费（按每天</w:t>
            </w:r>
            <w:r>
              <w:rPr>
                <w:rFonts w:hint="eastAsia" w:ascii="方正仿宋_GB2312" w:hAnsi="方正仿宋_GB2312" w:eastAsia="方正仿宋_GB2312" w:cs="方正仿宋_GB2312"/>
                <w:i w:val="0"/>
                <w:color w:val="000000"/>
                <w:kern w:val="0"/>
                <w:sz w:val="24"/>
                <w:szCs w:val="24"/>
                <w:highlight w:val="none"/>
                <w:u w:val="none"/>
                <w:lang w:val="en-US" w:eastAsia="zh-CN" w:bidi="ar"/>
              </w:rPr>
              <w:t>2</w:t>
            </w:r>
            <w:r>
              <w:rPr>
                <w:rFonts w:hint="default" w:ascii="方正仿宋_GB2312" w:hAnsi="方正仿宋_GB2312" w:eastAsia="方正仿宋_GB2312" w:cs="方正仿宋_GB2312"/>
                <w:i w:val="0"/>
                <w:color w:val="000000"/>
                <w:kern w:val="0"/>
                <w:sz w:val="24"/>
                <w:szCs w:val="24"/>
                <w:highlight w:val="none"/>
                <w:u w:val="none"/>
                <w:lang w:val="en-US" w:eastAsia="zh-CN" w:bidi="ar"/>
              </w:rPr>
              <w:t>小时，每小时400元计算）</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lang w:val="en-US"/>
              </w:rPr>
            </w:pPr>
            <w:r>
              <w:rPr>
                <w:rFonts w:hint="eastAsia" w:ascii="方正仿宋_GB2312" w:hAnsi="方正仿宋_GB2312" w:eastAsia="方正仿宋_GB2312" w:cs="方正仿宋_GB2312"/>
                <w:i w:val="0"/>
                <w:color w:val="000000"/>
                <w:kern w:val="0"/>
                <w:sz w:val="24"/>
                <w:szCs w:val="24"/>
                <w:highlight w:val="none"/>
                <w:u w:val="none"/>
                <w:lang w:val="en-US" w:eastAsia="zh-CN" w:bidi="ar"/>
              </w:rPr>
              <w:t>60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lang w:val="en-US" w:eastAsia="zh-CN"/>
              </w:rPr>
            </w:pPr>
            <w:r>
              <w:rPr>
                <w:rFonts w:hint="eastAsia" w:ascii="仿宋_GB2312" w:hAnsi="宋体" w:eastAsia="仿宋_GB2312" w:cs="仿宋_GB2312"/>
                <w:i w:val="0"/>
                <w:color w:val="000000"/>
                <w:sz w:val="24"/>
                <w:szCs w:val="24"/>
                <w:highlight w:val="none"/>
                <w:u w:val="none"/>
                <w:lang w:val="en-US" w:eastAsia="zh-CN"/>
              </w:rPr>
              <w:t>天</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w:t>
            </w:r>
            <w:r>
              <w:rPr>
                <w:rFonts w:hint="eastAsia" w:ascii="方正仿宋_GB2312" w:hAnsi="方正仿宋_GB2312" w:eastAsia="方正仿宋_GB2312" w:cs="方正仿宋_GB2312"/>
                <w:i w:val="0"/>
                <w:color w:val="000000"/>
                <w:kern w:val="0"/>
                <w:sz w:val="24"/>
                <w:szCs w:val="24"/>
                <w:highlight w:val="none"/>
                <w:u w:val="none"/>
                <w:lang w:val="en-US" w:eastAsia="zh-CN" w:bidi="ar"/>
              </w:rPr>
              <w:t>48</w:t>
            </w: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5</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史料汇编费</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排版费</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项</w:t>
            </w:r>
          </w:p>
        </w:tc>
        <w:tc>
          <w:tcPr>
            <w:tcW w:w="102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w:t>
            </w:r>
            <w:r>
              <w:rPr>
                <w:rFonts w:hint="eastAsia" w:ascii="方正仿宋_GB2312" w:hAnsi="方正仿宋_GB2312" w:eastAsia="方正仿宋_GB2312" w:cs="方正仿宋_GB2312"/>
                <w:i w:val="0"/>
                <w:color w:val="000000"/>
                <w:kern w:val="0"/>
                <w:sz w:val="24"/>
                <w:szCs w:val="24"/>
                <w:highlight w:val="none"/>
                <w:u w:val="none"/>
                <w:lang w:val="en-US" w:eastAsia="zh-CN" w:bidi="ar"/>
              </w:rPr>
              <w:t>24</w:t>
            </w: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编校费</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项</w:t>
            </w:r>
          </w:p>
        </w:tc>
        <w:tc>
          <w:tcPr>
            <w:tcW w:w="1023"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封面设计费</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项</w:t>
            </w:r>
          </w:p>
        </w:tc>
        <w:tc>
          <w:tcPr>
            <w:tcW w:w="1023"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印刷费</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eastAsia" w:ascii="方正仿宋_GB2312" w:hAnsi="方正仿宋_GB2312" w:eastAsia="方正仿宋_GB2312" w:cs="方正仿宋_GB2312"/>
                <w:i w:val="0"/>
                <w:color w:val="000000"/>
                <w:kern w:val="0"/>
                <w:sz w:val="24"/>
                <w:szCs w:val="24"/>
                <w:highlight w:val="none"/>
                <w:u w:val="none"/>
                <w:lang w:val="en-US" w:eastAsia="zh-CN" w:bidi="ar"/>
              </w:rPr>
              <w:t>5</w:t>
            </w:r>
            <w:r>
              <w:rPr>
                <w:rFonts w:hint="default" w:ascii="方正仿宋_GB2312" w:hAnsi="方正仿宋_GB2312" w:eastAsia="方正仿宋_GB2312" w:cs="方正仿宋_GB2312"/>
                <w:i w:val="0"/>
                <w:color w:val="000000"/>
                <w:kern w:val="0"/>
                <w:sz w:val="24"/>
                <w:szCs w:val="24"/>
                <w:highlight w:val="none"/>
                <w:u w:val="none"/>
                <w:lang w:val="en-US" w:eastAsia="zh-CN" w:bidi="ar"/>
              </w:rPr>
              <w:t>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册</w:t>
            </w:r>
          </w:p>
        </w:tc>
        <w:tc>
          <w:tcPr>
            <w:tcW w:w="102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b/>
                <w:i w:val="0"/>
                <w:color w:val="000000"/>
                <w:sz w:val="24"/>
                <w:szCs w:val="24"/>
                <w:highlight w:val="none"/>
                <w:u w:val="none"/>
              </w:rPr>
            </w:pPr>
            <w:r>
              <w:rPr>
                <w:rFonts w:hint="eastAsia" w:ascii="方正仿宋_GB2312" w:hAnsi="方正仿宋_GB2312" w:eastAsia="方正仿宋_GB2312" w:cs="方正仿宋_GB2312"/>
                <w:b/>
                <w:i w:val="0"/>
                <w:color w:val="000000"/>
                <w:kern w:val="0"/>
                <w:sz w:val="24"/>
                <w:szCs w:val="24"/>
                <w:highlight w:val="none"/>
                <w:u w:val="none"/>
                <w:lang w:val="en-US" w:eastAsia="zh-CN" w:bidi="ar"/>
              </w:rPr>
              <w:t>合计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b/>
                <w:i w:val="0"/>
                <w:color w:val="000000"/>
                <w:kern w:val="0"/>
                <w:sz w:val="24"/>
                <w:szCs w:val="24"/>
                <w:highlight w:val="none"/>
                <w:u w:val="none"/>
                <w:lang w:val="en-US" w:eastAsia="zh-CN" w:bidi="ar"/>
              </w:rPr>
            </w:pPr>
            <w:r>
              <w:rPr>
                <w:rFonts w:hint="default" w:ascii="方正仿宋_GB2312" w:hAnsi="方正仿宋_GB2312" w:eastAsia="方正仿宋_GB2312" w:cs="方正仿宋_GB2312"/>
                <w:b/>
                <w:i w:val="0"/>
                <w:color w:val="000000"/>
                <w:kern w:val="0"/>
                <w:sz w:val="24"/>
                <w:szCs w:val="24"/>
                <w:highlight w:val="none"/>
                <w:u w:val="none"/>
                <w:lang w:val="en-US" w:eastAsia="zh-CN" w:bidi="ar"/>
              </w:rPr>
              <w:t xml:space="preserve">￥300,000.00 </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供应商资质要求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）在中国境内注册的独立法人或其他组织（提供营业执照、事业法人证书、社会团体法人登记证书等扫描件）；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单位负责人为同一人或者存在直接控股、管理关系的不同供应商，不得同时参加本项目的采购活动。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选定供应商方法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1"/>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评分权重</w:t>
      </w:r>
    </w:p>
    <w:tbl>
      <w:tblPr>
        <w:tblStyle w:val="10"/>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2205"/>
        <w:gridCol w:w="207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205"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070"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085"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rPr>
            </w:pPr>
            <w:r>
              <w:rPr>
                <w:rFonts w:hint="eastAsia" w:ascii="仿宋_GB2312" w:hAnsi="仿宋_GB2312" w:eastAsia="仿宋_GB2312" w:cs="仿宋_GB2312"/>
                <w:b w:val="0"/>
                <w:bCs/>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205"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2070"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2085"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r>
    </w:tbl>
    <w:p>
      <w:pPr>
        <w:pStyle w:val="1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1"/>
        <w:rPr>
          <w:rFonts w:hint="eastAsia" w:ascii="楷体" w:hAnsi="楷体" w:eastAsia="楷体" w:cs="楷体"/>
          <w:b w:val="0"/>
          <w:bCs/>
          <w:color w:val="000000"/>
          <w:sz w:val="32"/>
          <w:szCs w:val="32"/>
          <w:highlight w:val="none"/>
          <w:lang w:eastAsia="zh-CN"/>
        </w:rPr>
      </w:pPr>
      <w:r>
        <w:rPr>
          <w:rFonts w:hint="eastAsia" w:ascii="楷体" w:hAnsi="楷体" w:eastAsia="楷体" w:cs="楷体"/>
          <w:b w:val="0"/>
          <w:bCs/>
          <w:color w:val="000000"/>
          <w:sz w:val="32"/>
          <w:szCs w:val="32"/>
          <w:highlight w:val="none"/>
          <w:lang w:eastAsia="zh-CN"/>
        </w:rPr>
        <w:t>（三）评分标准</w:t>
      </w:r>
    </w:p>
    <w:p>
      <w:pPr>
        <w:pStyle w:val="12"/>
        <w:keepNext w:val="0"/>
        <w:keepLines w:val="0"/>
        <w:pageBreakBefore w:val="0"/>
        <w:numPr>
          <w:ilvl w:val="0"/>
          <w:numId w:val="0"/>
        </w:numPr>
        <w:kinsoku/>
        <w:wordWrap/>
        <w:overflowPunct/>
        <w:topLinePunct w:val="0"/>
        <w:autoSpaceDE/>
        <w:autoSpaceDN/>
        <w:bidi w:val="0"/>
        <w:spacing w:line="560" w:lineRule="exact"/>
        <w:ind w:leftChars="300"/>
        <w:textAlignment w:val="auto"/>
        <w:outlineLvl w:val="2"/>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1.商务能力</w:t>
      </w:r>
    </w:p>
    <w:tbl>
      <w:tblPr>
        <w:tblStyle w:val="9"/>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95"/>
        <w:gridCol w:w="3000"/>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914" w:type="dxa"/>
            <w:gridSpan w:val="3"/>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w:t>
            </w:r>
          </w:p>
        </w:tc>
        <w:tc>
          <w:tcPr>
            <w:tcW w:w="383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519" w:type="dxa"/>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rPr>
              <w:t>商</w:t>
            </w:r>
            <w:r>
              <w:rPr>
                <w:rFonts w:hint="eastAsia" w:ascii="仿宋_GB2312" w:hAnsi="仿宋_GB2312" w:eastAsia="仿宋_GB2312" w:cs="仿宋_GB2312"/>
                <w:b w:val="0"/>
                <w:bCs/>
                <w:color w:val="auto"/>
                <w:sz w:val="24"/>
                <w:szCs w:val="24"/>
                <w:highlight w:val="none"/>
                <w:lang w:val="en-US" w:eastAsia="zh-CN"/>
              </w:rPr>
              <w:t>务能力评分20分</w:t>
            </w: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同类项目业绩（10分）</w:t>
            </w:r>
          </w:p>
        </w:tc>
        <w:tc>
          <w:tcPr>
            <w:tcW w:w="300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自2021年1月1日起至本项目投标截止之日(以合同签约时间为准),投标人提供一个文物史料征集相关项目类业绩得5分，本项最高得分10分。</w:t>
            </w:r>
          </w:p>
        </w:tc>
        <w:tc>
          <w:tcPr>
            <w:tcW w:w="383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1.投标人提供相关证明资料作为得分依据，同时提供合同关键信息（包括但不限于：合同名称页、合同主要内容页、合同签订日期页、合同双方签字盖章页）。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2.一年一签的长期服务续签合同(即同一中标服务期内或同一个项目只计算为一个业绩),不重复计分。</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3.未提供证明材料或者提供的证明材料不符合要求或提供的证明材料不清晰采购监督小组无法辨认的，不得分。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519" w:type="dxa"/>
            <w:vMerge w:val="continue"/>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诚信评价（5分）</w:t>
            </w:r>
          </w:p>
        </w:tc>
        <w:tc>
          <w:tcPr>
            <w:tcW w:w="300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投标人在参与政府采购项目中不存在诚信相关问题且不在主管部门相关处理措施实施期限内的。</w:t>
            </w:r>
          </w:p>
        </w:tc>
        <w:tc>
          <w:tcPr>
            <w:tcW w:w="383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提供《诚信承诺函》得5分，未提供不得分，格式自拟。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19" w:type="dxa"/>
            <w:vMerge w:val="continue"/>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服务承诺书与违约承诺书（5分）</w:t>
            </w:r>
          </w:p>
        </w:tc>
        <w:tc>
          <w:tcPr>
            <w:tcW w:w="300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根据对项目的理解及自身管理经验，提出项目完成的服务承诺与承诺满足招标文件要求，保证措施合理且有针对性，有具体的违约责任承诺。</w:t>
            </w:r>
          </w:p>
        </w:tc>
        <w:tc>
          <w:tcPr>
            <w:tcW w:w="383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提供《服务承诺函》和《违约承诺函》得5分，提供一项只得2.5分，未提供或者内容不符不得分，格式自拟。</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b w:val="0"/>
          <w:bCs/>
          <w:color w:val="auto"/>
          <w:sz w:val="24"/>
          <w:szCs w:val="24"/>
          <w:highlight w:val="none"/>
          <w:lang w:eastAsia="zh-CN"/>
        </w:rPr>
        <w:t>注：</w:t>
      </w:r>
      <w:r>
        <w:rPr>
          <w:rFonts w:hint="eastAsia" w:ascii="仿宋_GB2312" w:hAnsi="仿宋_GB2312" w:eastAsia="仿宋_GB2312" w:cs="仿宋_GB2312"/>
          <w:b w:val="0"/>
          <w:bCs/>
          <w:color w:val="auto"/>
          <w:sz w:val="24"/>
          <w:szCs w:val="24"/>
          <w:highlight w:val="none"/>
        </w:rPr>
        <w:t>不提供证明文件或提供的证明文件不</w:t>
      </w:r>
      <w:r>
        <w:rPr>
          <w:rFonts w:hint="eastAsia" w:ascii="仿宋_GB2312" w:hAnsi="仿宋_GB2312" w:eastAsia="仿宋_GB2312" w:cs="仿宋_GB2312"/>
          <w:b w:val="0"/>
          <w:bCs/>
          <w:color w:val="auto"/>
          <w:sz w:val="24"/>
          <w:szCs w:val="24"/>
          <w:highlight w:val="none"/>
          <w:lang w:eastAsia="zh-CN"/>
        </w:rPr>
        <w:t>充分</w:t>
      </w:r>
      <w:r>
        <w:rPr>
          <w:rFonts w:hint="eastAsia" w:ascii="仿宋_GB2312" w:hAnsi="仿宋_GB2312" w:eastAsia="仿宋_GB2312" w:cs="仿宋_GB2312"/>
          <w:b w:val="0"/>
          <w:bCs/>
          <w:color w:val="auto"/>
          <w:sz w:val="24"/>
          <w:szCs w:val="24"/>
          <w:highlight w:val="none"/>
        </w:rPr>
        <w:t>者，不得分。</w:t>
      </w:r>
    </w:p>
    <w:p>
      <w:pPr>
        <w:keepNext w:val="0"/>
        <w:keepLines w:val="0"/>
        <w:pageBreakBefore w:val="0"/>
        <w:kinsoku/>
        <w:wordWrap/>
        <w:overflowPunct/>
        <w:topLinePunct w:val="0"/>
        <w:autoSpaceDE/>
        <w:autoSpaceDN/>
        <w:bidi w:val="0"/>
        <w:spacing w:line="560" w:lineRule="exact"/>
        <w:ind w:firstLine="640" w:firstLineChars="200"/>
        <w:textAlignment w:val="auto"/>
        <w:outlineLvl w:val="2"/>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9"/>
        <w:tblW w:w="875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95"/>
        <w:gridCol w:w="2980"/>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894" w:type="dxa"/>
            <w:gridSpan w:val="3"/>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项目</w:t>
            </w:r>
          </w:p>
        </w:tc>
        <w:tc>
          <w:tcPr>
            <w:tcW w:w="385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519" w:type="dxa"/>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技术能力评分50分</w:t>
            </w: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实施方案（20分）</w:t>
            </w:r>
          </w:p>
        </w:tc>
        <w:tc>
          <w:tcPr>
            <w:tcW w:w="298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根据项目特点，针对服务需求分析、服务定位、服务内容、管理措施等要点进行项目整体设想和策划，编制实施方案。</w:t>
            </w:r>
          </w:p>
        </w:tc>
        <w:tc>
          <w:tcPr>
            <w:tcW w:w="385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从内容的覆盖面、科学性、针对性、可操作性等进行评价。本项最高得20分，评价为优得16-20分；评价为良得8-15分；评价为中得1-7分；评价为差不得分。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519" w:type="dxa"/>
            <w:vMerge w:val="continue"/>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项目重点难点分析、应对措施及相关的合理化建议（15分）</w:t>
            </w:r>
          </w:p>
        </w:tc>
        <w:tc>
          <w:tcPr>
            <w:tcW w:w="298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史料挖掘工作重点难点分析、应对措施，且提出合理化建议。</w:t>
            </w:r>
          </w:p>
        </w:tc>
        <w:tc>
          <w:tcPr>
            <w:tcW w:w="385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从内容的覆盖面、科学性、针对性、可操作性等进行评价。本项最高得15分，评价为优得11-15分；评价为良得6-10分；评价为中得1-5分；评价为差不得分。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人员保障措施、安全保障方案及执行（15分）</w:t>
            </w:r>
          </w:p>
        </w:tc>
        <w:tc>
          <w:tcPr>
            <w:tcW w:w="298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根据对项目的理解及自身管理经验，针对本项目提出工作人员配备安排情况、完成时间、安全保障措施及方案。</w:t>
            </w:r>
          </w:p>
        </w:tc>
        <w:tc>
          <w:tcPr>
            <w:tcW w:w="385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从内容的覆盖面、科学性、针对性、可操作性等进行评价。本项最高得15分，评价为优得11-15分；评价为良得6-10分；评价为中得1-5分；评价为差不得分。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 w:hAnsi="楷体" w:eastAsia="楷体" w:cs="楷体"/>
          <w:color w:val="000000"/>
          <w:sz w:val="32"/>
          <w:szCs w:val="32"/>
          <w:highlight w:val="none"/>
          <w:lang w:eastAsia="zh-CN"/>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w:t>
      </w:r>
      <w:r>
        <w:rPr>
          <w:rFonts w:hint="eastAsia" w:ascii="仿宋_GB2312" w:eastAsia="仿宋_GB2312"/>
          <w:color w:val="auto"/>
          <w:sz w:val="32"/>
          <w:szCs w:val="32"/>
          <w:highlight w:val="none"/>
          <w:lang w:eastAsia="zh-CN"/>
        </w:rPr>
        <w:t>分</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楷体" w:hAnsi="楷体" w:eastAsia="楷体" w:cs="楷体"/>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eastAsia="zh-CN"/>
        </w:rPr>
        <w:t>（四）</w:t>
      </w:r>
      <w:r>
        <w:rPr>
          <w:rFonts w:hint="eastAsia" w:ascii="楷体" w:hAnsi="楷体" w:eastAsia="楷体" w:cs="楷体"/>
          <w:color w:val="000000"/>
          <w:sz w:val="32"/>
          <w:szCs w:val="32"/>
          <w:highlight w:val="none"/>
          <w:lang w:val="en-US" w:eastAsia="zh-CN"/>
        </w:rPr>
        <w:t>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2"/>
        <w:rPr>
          <w:rFonts w:hint="default"/>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2"/>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2"/>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4.其他所需资料（同类业绩证明、方案等）。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Times New Roman"/>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Times New Roman"/>
          <w:color w:val="auto"/>
          <w:sz w:val="32"/>
          <w:highlight w:val="none"/>
          <w:lang w:val="en-US" w:eastAsia="zh-CN"/>
        </w:rPr>
        <w:t>注：</w:t>
      </w:r>
      <w:r>
        <w:rPr>
          <w:rFonts w:hint="eastAsia" w:ascii="仿宋_GB2312" w:hAnsi="仿宋" w:eastAsia="仿宋_GB2312" w:cs="仿宋"/>
          <w:sz w:val="32"/>
          <w:szCs w:val="32"/>
          <w:lang w:eastAsia="zh-CN"/>
        </w:rPr>
        <w:t>供应商需以邮寄方式提供</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lang w:eastAsia="zh-CN"/>
        </w:rPr>
        <w:t>份</w:t>
      </w:r>
      <w:r>
        <w:rPr>
          <w:rFonts w:hint="eastAsia" w:ascii="仿宋_GB2312" w:hAnsi="仿宋" w:eastAsia="仿宋_GB2312" w:cs="仿宋"/>
          <w:b/>
          <w:bCs/>
          <w:color w:val="auto"/>
          <w:sz w:val="32"/>
          <w:szCs w:val="32"/>
          <w:lang w:eastAsia="zh-CN"/>
        </w:rPr>
        <w:t>密封</w:t>
      </w:r>
      <w:r>
        <w:rPr>
          <w:rFonts w:hint="eastAsia" w:ascii="仿宋_GB2312" w:hAnsi="仿宋" w:eastAsia="仿宋_GB2312" w:cs="仿宋"/>
          <w:sz w:val="32"/>
          <w:szCs w:val="32"/>
          <w:lang w:eastAsia="zh-CN"/>
        </w:rPr>
        <w:t>纸质版投标资料至本单位，并在封面</w:t>
      </w:r>
      <w:r>
        <w:rPr>
          <w:rFonts w:hint="eastAsia" w:ascii="仿宋_GB2312" w:hAnsi="仿宋" w:eastAsia="仿宋_GB2312" w:cs="仿宋"/>
          <w:sz w:val="32"/>
          <w:szCs w:val="32"/>
        </w:rPr>
        <w:t>备注</w:t>
      </w:r>
      <w:r>
        <w:rPr>
          <w:rFonts w:hint="eastAsia" w:ascii="仿宋_GB2312" w:hAnsi="仿宋" w:eastAsia="仿宋_GB2312" w:cs="仿宋"/>
          <w:sz w:val="32"/>
          <w:szCs w:val="32"/>
          <w:lang w:eastAsia="zh-CN"/>
        </w:rPr>
        <w:t>“文化名人大营救史料挖掘、史料展及学术交流活动</w:t>
      </w:r>
      <w:r>
        <w:rPr>
          <w:rFonts w:hint="eastAsia" w:ascii="仿宋_GB2312" w:hAnsi="仿宋" w:eastAsia="仿宋_GB2312" w:cs="仿宋"/>
          <w:sz w:val="32"/>
          <w:szCs w:val="32"/>
        </w:rPr>
        <w:t>项目+公司全称+日期</w:t>
      </w:r>
      <w:r>
        <w:rPr>
          <w:rFonts w:hint="eastAsia" w:ascii="仿宋_GB2312" w:hAnsi="仿宋" w:eastAsia="仿宋_GB2312" w:cs="仿宋"/>
          <w:sz w:val="32"/>
          <w:szCs w:val="32"/>
          <w:lang w:val="en-US" w:eastAsia="zh-CN"/>
        </w:rPr>
        <w:t>+联系人+联系方式</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详细地址：深圳市龙华区</w:t>
      </w:r>
      <w:r>
        <w:rPr>
          <w:rFonts w:hint="eastAsia" w:ascii="仿宋_GB2312" w:hAnsi="仿宋" w:eastAsia="仿宋_GB2312" w:cs="仿宋"/>
          <w:sz w:val="32"/>
          <w:szCs w:val="32"/>
          <w:lang w:val="en-US" w:eastAsia="zh-CN"/>
        </w:rPr>
        <w:t>富康行政服务办公区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收件人</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吴</w:t>
      </w:r>
      <w:r>
        <w:rPr>
          <w:rFonts w:hint="eastAsia" w:ascii="仿宋_GB2312" w:hAnsi="仿宋" w:eastAsia="仿宋_GB2312" w:cs="仿宋"/>
          <w:sz w:val="32"/>
          <w:szCs w:val="32"/>
          <w:lang w:val="en-US" w:eastAsia="zh-CN"/>
        </w:rPr>
        <w:t>先生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仿宋"/>
          <w:sz w:val="32"/>
          <w:szCs w:val="32"/>
        </w:rPr>
        <w:t>联系方式：</w:t>
      </w:r>
      <w:r>
        <w:rPr>
          <w:rFonts w:hint="eastAsia" w:ascii="仿宋_GB2312" w:hAnsi="仿宋" w:eastAsia="仿宋_GB2312" w:cs="仿宋"/>
          <w:sz w:val="32"/>
          <w:szCs w:val="32"/>
          <w:lang w:val="en-US" w:eastAsia="zh-CN"/>
        </w:rPr>
        <w:t>0755-23338140</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E41FB"/>
    <w:multiLevelType w:val="singleLevel"/>
    <w:tmpl w:val="A1EE41FB"/>
    <w:lvl w:ilvl="0" w:tentative="0">
      <w:start w:val="1"/>
      <w:numFmt w:val="chineseCounting"/>
      <w:suff w:val="nothing"/>
      <w:lvlText w:val="%1、"/>
      <w:lvlJc w:val="left"/>
      <w:rPr>
        <w:rFonts w:hint="eastAsia"/>
      </w:rPr>
    </w:lvl>
  </w:abstractNum>
  <w:abstractNum w:abstractNumId="1">
    <w:nsid w:val="7DF622BB"/>
    <w:multiLevelType w:val="singleLevel"/>
    <w:tmpl w:val="7DF622B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E4NjA3YTA4MTczMThkZDIyMTRjNDI0MWMwYTEifQ=="/>
  </w:docVars>
  <w:rsids>
    <w:rsidRoot w:val="7D9EF934"/>
    <w:rsid w:val="11FDD499"/>
    <w:rsid w:val="165A6957"/>
    <w:rsid w:val="1A74704B"/>
    <w:rsid w:val="1FFEC4BA"/>
    <w:rsid w:val="2948325E"/>
    <w:rsid w:val="2ACF7CE0"/>
    <w:rsid w:val="30AC7191"/>
    <w:rsid w:val="32DA31E5"/>
    <w:rsid w:val="35FF9F75"/>
    <w:rsid w:val="37EF14DB"/>
    <w:rsid w:val="3EDEE14E"/>
    <w:rsid w:val="3F0DB77A"/>
    <w:rsid w:val="3FEF4DF1"/>
    <w:rsid w:val="47E2210F"/>
    <w:rsid w:val="4DFB73AE"/>
    <w:rsid w:val="4FBFCB20"/>
    <w:rsid w:val="4FD7FB94"/>
    <w:rsid w:val="55D93FA1"/>
    <w:rsid w:val="56DF1B08"/>
    <w:rsid w:val="5D79A616"/>
    <w:rsid w:val="5E7B6765"/>
    <w:rsid w:val="5EBAB802"/>
    <w:rsid w:val="5F7B27B4"/>
    <w:rsid w:val="5FBB450F"/>
    <w:rsid w:val="645D4233"/>
    <w:rsid w:val="651BD6B6"/>
    <w:rsid w:val="667B8032"/>
    <w:rsid w:val="6B9D386F"/>
    <w:rsid w:val="6BFDDB99"/>
    <w:rsid w:val="6DDF78EC"/>
    <w:rsid w:val="6DFF04E8"/>
    <w:rsid w:val="6E7DD9E3"/>
    <w:rsid w:val="75726B85"/>
    <w:rsid w:val="777FD6CF"/>
    <w:rsid w:val="77FBF638"/>
    <w:rsid w:val="782FA396"/>
    <w:rsid w:val="7957FF4E"/>
    <w:rsid w:val="7B2BFA53"/>
    <w:rsid w:val="7BB76047"/>
    <w:rsid w:val="7BBC8B59"/>
    <w:rsid w:val="7BF79337"/>
    <w:rsid w:val="7BFF00BC"/>
    <w:rsid w:val="7CFFAADF"/>
    <w:rsid w:val="7D5D869D"/>
    <w:rsid w:val="7D9EF934"/>
    <w:rsid w:val="7E7E892D"/>
    <w:rsid w:val="7F769AD2"/>
    <w:rsid w:val="7F9FE8BF"/>
    <w:rsid w:val="7FBF80A7"/>
    <w:rsid w:val="7FF53207"/>
    <w:rsid w:val="7FFE95C2"/>
    <w:rsid w:val="7FFF47D4"/>
    <w:rsid w:val="7FFF5229"/>
    <w:rsid w:val="87EBF5DF"/>
    <w:rsid w:val="87F7B149"/>
    <w:rsid w:val="8EF6FC66"/>
    <w:rsid w:val="9C6BDC69"/>
    <w:rsid w:val="AB6E1DED"/>
    <w:rsid w:val="AFFF5A6C"/>
    <w:rsid w:val="B1CB1C5B"/>
    <w:rsid w:val="B9F33FE6"/>
    <w:rsid w:val="BB4B007F"/>
    <w:rsid w:val="BF7BDF43"/>
    <w:rsid w:val="BF8BF41F"/>
    <w:rsid w:val="BFCBBCA4"/>
    <w:rsid w:val="BFDFA23B"/>
    <w:rsid w:val="BFFF32E9"/>
    <w:rsid w:val="C3FE7AAC"/>
    <w:rsid w:val="C67BB5E4"/>
    <w:rsid w:val="CF70C1DF"/>
    <w:rsid w:val="CFFFA69D"/>
    <w:rsid w:val="DAEBD541"/>
    <w:rsid w:val="DAF1F2F9"/>
    <w:rsid w:val="DBCFF4EE"/>
    <w:rsid w:val="DBDFFE8F"/>
    <w:rsid w:val="DDFE2987"/>
    <w:rsid w:val="DF9F7DAA"/>
    <w:rsid w:val="DFFF0819"/>
    <w:rsid w:val="EEFFF160"/>
    <w:rsid w:val="EEFFF5A6"/>
    <w:rsid w:val="F0DE081D"/>
    <w:rsid w:val="F5FE4CF2"/>
    <w:rsid w:val="F71B5730"/>
    <w:rsid w:val="F7F64C53"/>
    <w:rsid w:val="F7FF9AD7"/>
    <w:rsid w:val="FAD31E12"/>
    <w:rsid w:val="FAF72D04"/>
    <w:rsid w:val="FBBF12EE"/>
    <w:rsid w:val="FBFF4162"/>
    <w:rsid w:val="FBFF76BF"/>
    <w:rsid w:val="FD5EB6E6"/>
    <w:rsid w:val="FDBDF9B5"/>
    <w:rsid w:val="FE7944D5"/>
    <w:rsid w:val="FF3D56F0"/>
    <w:rsid w:val="FFAFA6C8"/>
    <w:rsid w:val="FFBF48CC"/>
    <w:rsid w:val="FFD7E929"/>
    <w:rsid w:val="FFEF2549"/>
    <w:rsid w:val="FFFB4C06"/>
    <w:rsid w:val="FFFB7AA8"/>
    <w:rsid w:val="FFFFD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annotation text"/>
    <w:basedOn w:val="1"/>
    <w:qFormat/>
    <w:uiPriority w:val="0"/>
    <w:pPr>
      <w:jc w:val="left"/>
    </w:pPr>
  </w:style>
  <w:style w:type="paragraph" w:styleId="5">
    <w:name w:val="Body Text"/>
    <w:basedOn w:val="1"/>
    <w:next w:val="1"/>
    <w:unhideWhenUsed/>
    <w:qFormat/>
    <w:uiPriority w:val="99"/>
    <w:pPr>
      <w:spacing w:line="560" w:lineRule="exact"/>
      <w:ind w:firstLine="880" w:firstLineChars="200"/>
    </w:pPr>
    <w:rPr>
      <w:rFonts w:ascii="Calibri" w:hAnsi="Calibri" w:cs="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spacing w:line="560" w:lineRule="exact"/>
      <w:ind w:firstLine="880" w:firstLineChars="200"/>
    </w:pPr>
    <w:rPr>
      <w:rFonts w:ascii="Calibri" w:hAnsi="Calibri" w:eastAsia="仿宋_GB2312" w:cs="Times New Roman"/>
      <w:sz w:val="32"/>
      <w:szCs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USE 1"/>
    <w:basedOn w:val="1"/>
    <w:qFormat/>
    <w:uiPriority w:val="0"/>
    <w:pPr>
      <w:spacing w:line="200" w:lineRule="atLeast"/>
      <w:jc w:val="left"/>
    </w:pPr>
    <w:rPr>
      <w:rFonts w:ascii="宋体" w:hAnsi="宋体"/>
      <w:b/>
      <w:sz w:val="24"/>
      <w:szCs w:val="28"/>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2023-08-16T16:20:00Z</dcterms:created>
  <dc:creator>hlj</dc:creator>
  <cp:lastModifiedBy>lxy</cp:lastModifiedBy>
  <cp:lastPrinted>2023-08-17T08:24:00Z</cp:lastPrinted>
  <dcterms:modified xsi:type="dcterms:W3CDTF">2024-06-04T17:08:13Z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1792A9A7082BE7531A6C5E66236AA555</vt:lpwstr>
  </property>
</Properties>
</file>