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lang w:val="en-US" w:eastAsia="zh-CN"/>
        </w:rPr>
        <w:t>龙华区2024年重点企业动态跟踪分析辅助</w:t>
      </w:r>
    </w:p>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服务项目采购需求书</w:t>
      </w:r>
    </w:p>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tabs>
          <w:tab w:val="left" w:pos="1820"/>
        </w:tabs>
        <w:kinsoku/>
        <w:wordWrap/>
        <w:overflowPunct/>
        <w:topLinePunct w:val="0"/>
        <w:autoSpaceDE/>
        <w:autoSpaceDN/>
        <w:bidi w:val="0"/>
        <w:adjustRightInd/>
        <w:snapToGrid w:val="0"/>
        <w:spacing w:before="313" w:beforeLines="100" w:after="0" w:line="560" w:lineRule="exact"/>
        <w:ind w:left="0" w:leftChars="0"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一、项目目标</w:t>
      </w:r>
    </w:p>
    <w:p>
      <w:pPr>
        <w:pStyle w:val="2"/>
        <w:keepNext w:val="0"/>
        <w:keepLines w:val="0"/>
        <w:pageBreakBefore w:val="0"/>
        <w:widowControl/>
        <w:kinsoku/>
        <w:wordWrap/>
        <w:overflowPunct/>
        <w:topLinePunct w:val="0"/>
        <w:autoSpaceDE/>
        <w:autoSpaceDN/>
        <w:bidi w:val="0"/>
        <w:adjustRightInd w:val="0"/>
        <w:snapToGrid w:val="0"/>
        <w:spacing w:after="0"/>
        <w:ind w:firstLine="640" w:firstLineChars="200"/>
        <w:jc w:val="left"/>
        <w:textAlignment w:val="auto"/>
        <w:rPr>
          <w:rStyle w:val="10"/>
          <w:rFonts w:hint="eastAsia"/>
          <w:highlight w:val="none"/>
        </w:rPr>
      </w:pPr>
      <w:r>
        <w:rPr>
          <w:rFonts w:hint="eastAsia" w:ascii="仿宋_GB2312" w:hAnsi="仿宋_GB2312" w:eastAsia="仿宋_GB2312" w:cs="仿宋_GB2312"/>
          <w:b w:val="0"/>
          <w:bCs/>
          <w:sz w:val="32"/>
          <w:szCs w:val="32"/>
          <w:highlight w:val="none"/>
          <w:lang w:val="en-US" w:eastAsia="zh-CN"/>
        </w:rPr>
        <w:t>此项目旨在围绕龙华区工业龙头企业集团开展</w:t>
      </w:r>
      <w:r>
        <w:rPr>
          <w:rFonts w:hint="eastAsia" w:ascii="仿宋_GB2312" w:eastAsia="仿宋_GB2312" w:cs="仿宋_GB2312"/>
          <w:b w:val="0"/>
          <w:bCs w:val="0"/>
          <w:spacing w:val="4"/>
          <w:kern w:val="2"/>
          <w:sz w:val="32"/>
          <w:szCs w:val="32"/>
          <w:highlight w:val="none"/>
          <w:lang w:val="en-US" w:eastAsia="zh-CN" w:bidi="ar"/>
        </w:rPr>
        <w:t>生产经营、战略规划、投资布局等动态分析，以及消费电子相关行业动向跟踪，进一步了解和掌握企业最新发展动向，科学研判企业发展趋势及需求，以</w:t>
      </w:r>
      <w:r>
        <w:rPr>
          <w:rFonts w:hint="eastAsia" w:ascii="仿宋_GB2312" w:hAnsi="Calibri" w:eastAsia="仿宋_GB2312" w:cs="Times New Roman"/>
          <w:spacing w:val="4"/>
          <w:sz w:val="32"/>
          <w:szCs w:val="32"/>
          <w:highlight w:val="none"/>
          <w:lang w:eastAsia="zh-CN"/>
        </w:rPr>
        <w:t>全方位做好龙头企业服务，更好稳定和扩大企业在深圳龙华业务产能。同时，定期</w:t>
      </w:r>
      <w:r>
        <w:rPr>
          <w:rFonts w:hint="eastAsia" w:ascii="仿宋_GB2312" w:hAnsi="仿宋_GB2312" w:eastAsia="仿宋_GB2312" w:cs="仿宋_GB2312"/>
          <w:b w:val="0"/>
          <w:bCs/>
          <w:sz w:val="32"/>
          <w:szCs w:val="32"/>
          <w:highlight w:val="none"/>
          <w:lang w:val="en-US" w:eastAsia="zh-CN"/>
        </w:rPr>
        <w:t>收集、整理上级各部门及各兄弟区最新产业动态、相关重要文件和创新做法，为我区加快培育发展新质生产力、构建现代化产业体系、推动产业高质量发展提供有力支撑。</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二、时间安排</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自合同签订之日起一年，具体时间以项目完成时间为准。</w:t>
      </w:r>
    </w:p>
    <w:p>
      <w:pPr>
        <w:keepNext w:val="0"/>
        <w:keepLines w:val="0"/>
        <w:pageBreakBefore w:val="0"/>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kern w:val="44"/>
          <w:sz w:val="32"/>
          <w:szCs w:val="32"/>
          <w:highlight w:val="none"/>
          <w:lang w:val="en-US" w:eastAsia="zh-CN" w:bidi="ar-SA"/>
        </w:rPr>
      </w:pPr>
      <w:r>
        <w:rPr>
          <w:rFonts w:hint="eastAsia" w:ascii="仿宋_GB2312" w:hAnsi="仿宋_GB2312" w:eastAsia="仿宋_GB2312" w:cs="仿宋_GB2312"/>
          <w:b w:val="0"/>
          <w:bCs/>
          <w:kern w:val="44"/>
          <w:sz w:val="32"/>
          <w:szCs w:val="32"/>
          <w:highlight w:val="none"/>
          <w:lang w:val="en-US" w:eastAsia="zh-CN" w:bidi="ar-SA"/>
        </w:rPr>
        <w:t>（一）开展</w:t>
      </w:r>
      <w:r>
        <w:rPr>
          <w:rFonts w:hint="eastAsia" w:ascii="仿宋_GB2312" w:hAnsi="仿宋_GB2312" w:eastAsia="仿宋_GB2312" w:cs="仿宋_GB2312"/>
          <w:b w:val="0"/>
          <w:bCs/>
          <w:sz w:val="32"/>
          <w:szCs w:val="32"/>
          <w:highlight w:val="none"/>
          <w:lang w:val="en-US" w:eastAsia="zh-CN"/>
        </w:rPr>
        <w:t>龙华区工业龙头企业集团</w:t>
      </w:r>
      <w:r>
        <w:rPr>
          <w:rFonts w:hint="eastAsia" w:ascii="仿宋_GB2312" w:hAnsi="仿宋_GB2312" w:eastAsia="仿宋_GB2312" w:cs="仿宋_GB2312"/>
          <w:b w:val="0"/>
          <w:bCs/>
          <w:kern w:val="44"/>
          <w:sz w:val="32"/>
          <w:szCs w:val="32"/>
          <w:highlight w:val="none"/>
          <w:lang w:val="en-US" w:eastAsia="zh-CN" w:bidi="ar-SA"/>
        </w:rPr>
        <w:t>相关发展动态跟踪分析。协助梳理企业生产经营、战略规划、投资布局等发展情况，及时掌握企业最新发展动向，科学研判企业未来发展趋势。同时，协助定期梳理消费电子行业发展现状，特别是行业相关爆款终端产品销量等情况，综合分析产业发展规律，及时研判产业发展动向。</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0"/>
          <w:rFonts w:hint="eastAsia" w:eastAsia="仿宋_GB2312"/>
          <w:highlight w:val="none"/>
          <w:lang w:eastAsia="zh-CN"/>
        </w:rPr>
      </w:pPr>
      <w:r>
        <w:rPr>
          <w:rStyle w:val="10"/>
          <w:rFonts w:hint="eastAsia" w:eastAsia="仿宋_GB2312"/>
          <w:highlight w:val="none"/>
          <w:lang w:eastAsia="zh-CN"/>
        </w:rPr>
        <w:t>（二）开展各区重点产业布局、政策动态相关信息跟踪分析。协助梳理国内重点地区发展现状、产业布局、扶持政策等相关动态信息，总结梳理相关有益做法和经验，为推动我区优化产业布局和实现高质量发展提供支撑。</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0"/>
          <w:rFonts w:hint="eastAsia"/>
          <w:highlight w:val="none"/>
          <w:lang w:eastAsia="zh-CN"/>
        </w:rPr>
      </w:pPr>
      <w:r>
        <w:rPr>
          <w:rStyle w:val="10"/>
          <w:rFonts w:hint="eastAsia"/>
          <w:highlight w:val="none"/>
          <w:lang w:eastAsia="zh-CN"/>
        </w:rPr>
        <w:t>（三）每月对上述企业相关发展动态，各地区重点产业布局、政策动态相关信息进行梳理汇总形成报告，全年合计形成</w:t>
      </w:r>
      <w:r>
        <w:rPr>
          <w:rStyle w:val="10"/>
          <w:rFonts w:hint="eastAsia"/>
          <w:highlight w:val="none"/>
          <w:lang w:val="en-US" w:eastAsia="zh-CN"/>
        </w:rPr>
        <w:t>11期</w:t>
      </w:r>
      <w:r>
        <w:rPr>
          <w:rStyle w:val="10"/>
          <w:rFonts w:hint="eastAsia"/>
          <w:highlight w:val="none"/>
          <w:lang w:eastAsia="zh-CN"/>
        </w:rPr>
        <w:t>。</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该项目费用总计最高不超过27.72万元。</w:t>
      </w:r>
    </w:p>
    <w:p>
      <w:pPr>
        <w:keepNext w:val="0"/>
        <w:keepLines w:val="0"/>
        <w:pageBreakBefore w:val="0"/>
        <w:numPr>
          <w:ilvl w:val="0"/>
          <w:numId w:val="0"/>
        </w:numPr>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五、评分要求</w:t>
      </w:r>
    </w:p>
    <w:p>
      <w:pPr>
        <w:pStyle w:val="11"/>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p>
    <w:p>
      <w:pPr>
        <w:pStyle w:val="11"/>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（二）评分权重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857"/>
        <w:gridCol w:w="1657"/>
        <w:gridCol w:w="169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1"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评分内容</w:t>
            </w:r>
          </w:p>
        </w:tc>
        <w:tc>
          <w:tcPr>
            <w:tcW w:w="18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商务能力</w:t>
            </w:r>
          </w:p>
        </w:tc>
        <w:tc>
          <w:tcPr>
            <w:tcW w:w="16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技术能力</w:t>
            </w:r>
          </w:p>
        </w:tc>
        <w:tc>
          <w:tcPr>
            <w:tcW w:w="169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人员配备</w:t>
            </w:r>
          </w:p>
        </w:tc>
        <w:tc>
          <w:tcPr>
            <w:tcW w:w="1623"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1"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分值</w:t>
            </w:r>
          </w:p>
        </w:tc>
        <w:tc>
          <w:tcPr>
            <w:tcW w:w="18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40分</w:t>
            </w:r>
          </w:p>
        </w:tc>
        <w:tc>
          <w:tcPr>
            <w:tcW w:w="169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23"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r>
    </w:tbl>
    <w:p>
      <w:pPr>
        <w:pStyle w:val="11"/>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1.商务能力（20分）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9"/>
        <w:gridCol w:w="4727"/>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20" w:type="dxa"/>
            <w:gridSpan w:val="3"/>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项目</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14" w:type="dxa"/>
            <w:vMerge w:val="restart"/>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资质</w:t>
            </w:r>
          </w:p>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4727" w:type="dxa"/>
            <w:noWrap w:val="0"/>
            <w:vAlign w:val="center"/>
          </w:tcPr>
          <w:p>
            <w:pPr>
              <w:keepNext w:val="0"/>
              <w:keepLines w:val="0"/>
              <w:pageBreakBefore w:val="0"/>
              <w:widowControl/>
              <w:kinsoku/>
              <w:wordWrap/>
              <w:overflowPunct/>
              <w:topLinePunct w:val="0"/>
              <w:autoSpaceDE/>
              <w:autoSpaceDN/>
              <w:bidi w:val="0"/>
              <w:spacing w:after="0" w:line="400" w:lineRule="exact"/>
              <w:ind w:left="0" w:leftChars="0" w:right="0" w:rightChars="0"/>
              <w:jc w:val="lef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具备信息咨询或市场调研资质在中国境内注册的独立法人或非法人组织。</w:t>
            </w:r>
          </w:p>
        </w:tc>
        <w:tc>
          <w:tcPr>
            <w:tcW w:w="2120"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14" w:type="dxa"/>
            <w:vMerge w:val="continue"/>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widowControl/>
              <w:kinsoku/>
              <w:wordWrap/>
              <w:overflowPunct/>
              <w:topLinePunct w:val="0"/>
              <w:autoSpaceDE/>
              <w:autoSpaceDN/>
              <w:bidi w:val="0"/>
              <w:spacing w:after="0" w:line="240" w:lineRule="auto"/>
              <w:ind w:left="0" w:leftChars="0" w:right="0" w:right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727"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近三年承接过同类项目服务，每个项目得</w:t>
            </w:r>
            <w:r>
              <w:rPr>
                <w:rFonts w:hint="eastAsia" w:ascii="仿宋_GB2312" w:hAnsi="仿宋_GB2312" w:eastAsia="仿宋_GB2312" w:cs="仿宋_GB2312"/>
                <w:sz w:val="24"/>
                <w:szCs w:val="24"/>
                <w:highlight w:val="none"/>
                <w:lang w:val="en-US" w:eastAsia="zh-CN"/>
              </w:rPr>
              <w:t>2分，最高不超过10分。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14" w:type="dxa"/>
            <w:vMerge w:val="continue"/>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727"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在业界具有良好的诚信和美誉度，得</w:t>
            </w:r>
            <w:r>
              <w:rPr>
                <w:rFonts w:hint="eastAsia" w:ascii="仿宋_GB2312" w:hAnsi="仿宋_GB2312" w:eastAsia="仿宋_GB2312" w:cs="仿宋_GB2312"/>
                <w:b w:val="0"/>
                <w:bCs/>
                <w:color w:val="000000"/>
                <w:sz w:val="24"/>
                <w:szCs w:val="24"/>
                <w:highlight w:val="none"/>
                <w:lang w:val="en-US" w:eastAsia="zh-CN"/>
              </w:rPr>
              <w:t>5分。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eastAsia="zh-CN"/>
        </w:rPr>
        <w:t>注：</w:t>
      </w:r>
      <w:r>
        <w:rPr>
          <w:rFonts w:hint="eastAsia" w:ascii="仿宋_GB2312" w:hAnsi="仿宋_GB2312" w:eastAsia="仿宋_GB2312" w:cs="仿宋_GB2312"/>
          <w:b w:val="0"/>
          <w:bCs/>
          <w:color w:val="000000"/>
          <w:sz w:val="32"/>
          <w:szCs w:val="32"/>
          <w:highlight w:val="none"/>
        </w:rPr>
        <w:t>不提供证明文件或提供的证明文件不合格者，不得分。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2.技术能力（40分）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5"/>
        <w:gridCol w:w="429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45" w:type="dxa"/>
            <w:gridSpan w:val="3"/>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2207" w:type="dxa"/>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4" w:type="dxa"/>
            <w:vMerge w:val="restar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服务方案包含工作内容、时间安排、投入工作人员人数及资历、相关后续服务等；根据方案优劣程度打0-10分。</w:t>
            </w:r>
          </w:p>
        </w:tc>
        <w:tc>
          <w:tcPr>
            <w:tcW w:w="220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针对项目实施过程中可能遇到的重难点问题进行分析，并提出解决方案，根据方案优劣情况打0-10分。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签订诚信承诺书得</w:t>
            </w:r>
            <w:r>
              <w:rPr>
                <w:rFonts w:hint="eastAsia" w:ascii="仿宋_GB2312" w:hAnsi="仿宋_GB2312" w:eastAsia="仿宋_GB2312" w:cs="仿宋_GB2312"/>
                <w:b w:val="0"/>
                <w:bCs/>
                <w:color w:val="000000"/>
                <w:sz w:val="24"/>
                <w:szCs w:val="24"/>
                <w:highlight w:val="none"/>
                <w:lang w:val="en-US" w:eastAsia="zh-CN"/>
              </w:rPr>
              <w:t>5分，不签订承诺书不得分。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jc w:val="both"/>
        <w:textAlignment w:val="auto"/>
        <w:rPr>
          <w:rFonts w:hint="eastAsia" w:ascii="仿宋_GB2312" w:eastAsia="仿宋_GB2312"/>
          <w:color w:val="000000"/>
          <w:sz w:val="32"/>
          <w:szCs w:val="32"/>
          <w:highlight w:val="none"/>
          <w:lang w:val="en-US" w:eastAsia="zh-CN"/>
        </w:rPr>
      </w:pPr>
      <w:r>
        <w:rPr>
          <w:rFonts w:hint="eastAsia"/>
          <w:highlight w:val="none"/>
          <w:lang w:val="en-US" w:eastAsia="zh-CN"/>
        </w:rPr>
        <w:t xml:space="preserve">         </w:t>
      </w:r>
      <w:r>
        <w:rPr>
          <w:rFonts w:hint="eastAsia" w:ascii="仿宋_GB2312" w:eastAsia="仿宋_GB2312"/>
          <w:color w:val="000000"/>
          <w:sz w:val="32"/>
          <w:szCs w:val="32"/>
          <w:highlight w:val="none"/>
          <w:lang w:val="en-US" w:eastAsia="zh-CN"/>
        </w:rPr>
        <w:t>3.人员配备（20分）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需配备项目负责人</w:t>
      </w:r>
      <w:r>
        <w:rPr>
          <w:rFonts w:hint="eastAsia" w:ascii="仿宋_GB2312" w:eastAsia="仿宋_GB2312"/>
          <w:color w:val="000000"/>
          <w:sz w:val="32"/>
          <w:szCs w:val="32"/>
          <w:highlight w:val="none"/>
          <w:lang w:val="en-US" w:eastAsia="zh-CN"/>
        </w:rPr>
        <w:t>1名，项目成员2名。</w:t>
      </w:r>
      <w:r>
        <w:rPr>
          <w:rFonts w:hint="eastAsia" w:ascii="仿宋_GB2312" w:eastAsia="仿宋_GB2312"/>
          <w:color w:val="000000"/>
          <w:sz w:val="32"/>
          <w:szCs w:val="32"/>
          <w:highlight w:val="none"/>
          <w:lang w:eastAsia="zh-CN"/>
        </w:rPr>
        <w:t>项目负责人具有</w:t>
      </w:r>
      <w:r>
        <w:rPr>
          <w:rFonts w:hint="eastAsia" w:ascii="仿宋_GB2312" w:eastAsia="仿宋_GB2312"/>
          <w:color w:val="000000"/>
          <w:sz w:val="32"/>
          <w:szCs w:val="32"/>
          <w:highlight w:val="none"/>
          <w:lang w:val="en-US" w:eastAsia="zh-CN"/>
        </w:rPr>
        <w:t>5年以上工作经验、项目成员具有1年以上工作经验得基础分10分；小组成员每多1人加1分，每多1年工作经验加2分，最多加10分。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所报的有效报价中的最低价作为基准报价。</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highlight w:val="none"/>
        </w:rPr>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p>
      <w:pPr>
        <w:rPr>
          <w:highlight w:val="none"/>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等线 Light">
    <w:altName w:val="华文仿宋"/>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F2FD7"/>
    <w:rsid w:val="1DF17B08"/>
    <w:rsid w:val="3FD39307"/>
    <w:rsid w:val="5F8F58EE"/>
    <w:rsid w:val="62AE0C47"/>
    <w:rsid w:val="70BDEE9E"/>
    <w:rsid w:val="7EBEA5EF"/>
    <w:rsid w:val="7EF51D8C"/>
    <w:rsid w:val="7F8E97C7"/>
    <w:rsid w:val="7FF73FF7"/>
    <w:rsid w:val="AEDF9B0B"/>
    <w:rsid w:val="B7BFB84C"/>
    <w:rsid w:val="CBE4379D"/>
    <w:rsid w:val="DB7FA51E"/>
    <w:rsid w:val="DFDF1249"/>
    <w:rsid w:val="EEFF2FD7"/>
    <w:rsid w:val="EFFB1B81"/>
    <w:rsid w:val="F43EF5D1"/>
    <w:rsid w:val="FFA7ED90"/>
    <w:rsid w:val="FFFFC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cs="Times New Roman"/>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uto"/>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qFormat/>
    <w:uiPriority w:val="0"/>
    <w:rPr>
      <w:rFonts w:ascii="Tahoma" w:hAnsi="Tahoma" w:eastAsia="微软雅黑" w:cs="Times New Roman"/>
      <w:sz w:val="22"/>
      <w:szCs w:val="22"/>
      <w:lang w:val="en-US" w:eastAsia="zh-CN" w:bidi="ar-SA"/>
    </w:rPr>
  </w:style>
  <w:style w:type="character" w:customStyle="1" w:styleId="10">
    <w:name w:val="fontstyle01"/>
    <w:basedOn w:val="8"/>
    <w:qFormat/>
    <w:uiPriority w:val="0"/>
    <w:rPr>
      <w:rFonts w:ascii="仿宋_GB2312" w:hAnsi="仿宋_GB2312" w:eastAsia="仿宋_GB2312" w:cs="仿宋_GB2312"/>
      <w:color w:val="000000"/>
      <w:sz w:val="32"/>
      <w:szCs w:val="32"/>
    </w:rPr>
  </w:style>
  <w:style w:type="paragraph" w:customStyle="1" w:styleId="1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2023-03-14T14:44:00Z</dcterms:created>
  <dc:creator>chanyeke</dc:creator>
  <cp:lastModifiedBy>longhua</cp:lastModifiedBy>
  <cp:lastPrinted>2024-05-22T19:16:00Z</cp:lastPrinted>
  <dcterms:modified xsi:type="dcterms:W3CDTF">2024-06-18T16:31:07Z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4889A88E52220C65F3294C6691F6ABF6</vt:lpwstr>
  </property>
</Properties>
</file>