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spacing w:before="0" w:after="0" w:line="560" w:lineRule="exact"/>
        <w:ind w:firstLine="1320" w:firstLineChars="3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龙华区第六届诗词大会项目需求书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atLeast"/>
        <w:jc w:val="both"/>
        <w:textAlignment w:val="auto"/>
        <w:rPr>
          <w:rFonts w:hint="eastAsia" w:ascii="黑体" w:hAnsi="黑体" w:eastAsia="黑体" w:cs="黑体"/>
          <w:bCs/>
          <w:sz w:val="32"/>
          <w:szCs w:val="32"/>
          <w:highlight w:val="none"/>
          <w:lang w:eastAsia="zh-CN"/>
        </w:rPr>
      </w:pPr>
    </w:p>
    <w:p>
      <w:pPr>
        <w:keepNext w:val="0"/>
        <w:keepLines w:val="0"/>
        <w:pageBreakBefore w:val="0"/>
        <w:numPr>
          <w:ilvl w:val="0"/>
          <w:numId w:val="1"/>
        </w:numPr>
        <w:tabs>
          <w:tab w:val="left" w:pos="1820"/>
        </w:tabs>
        <w:kinsoku/>
        <w:wordWrap/>
        <w:overflowPunct/>
        <w:topLinePunct w:val="0"/>
        <w:autoSpaceDE/>
        <w:autoSpaceDN/>
        <w:bidi w:val="0"/>
        <w:snapToGrid w:val="0"/>
        <w:spacing w:after="0" w:line="560" w:lineRule="exact"/>
        <w:ind w:left="0" w:leftChars="0" w:right="0" w:rightChars="0" w:firstLine="640" w:firstLineChars="200"/>
        <w:jc w:val="both"/>
        <w:textAlignment w:val="auto"/>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项目</w:t>
      </w:r>
      <w:r>
        <w:rPr>
          <w:rFonts w:hint="eastAsia" w:ascii="黑体" w:hAnsi="黑体" w:eastAsia="黑体" w:cs="黑体"/>
          <w:bCs/>
          <w:sz w:val="32"/>
          <w:szCs w:val="32"/>
          <w:highlight w:val="none"/>
        </w:rPr>
        <w:t>目</w:t>
      </w:r>
      <w:r>
        <w:rPr>
          <w:rFonts w:hint="eastAsia" w:ascii="黑体" w:hAnsi="黑体" w:eastAsia="黑体" w:cs="黑体"/>
          <w:bCs/>
          <w:sz w:val="32"/>
          <w:szCs w:val="32"/>
          <w:highlight w:val="none"/>
          <w:lang w:eastAsia="zh-CN"/>
        </w:rPr>
        <w:t>标</w:t>
      </w:r>
    </w:p>
    <w:p>
      <w:pPr>
        <w:spacing w:line="560" w:lineRule="exact"/>
        <w:ind w:firstLine="640" w:firstLineChars="20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龙华区</w:t>
      </w:r>
      <w:r>
        <w:rPr>
          <w:rFonts w:hint="eastAsia" w:ascii="仿宋_GB2312" w:hAnsi="仿宋_GB2312" w:eastAsia="仿宋_GB2312" w:cs="仿宋_GB2312"/>
          <w:sz w:val="32"/>
          <w:szCs w:val="32"/>
        </w:rPr>
        <w:t>诗词大会以弘扬中华优秀传统文化为已任，</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打造具有龙华特色的诗词阅读文化盛会为目的，</w:t>
      </w:r>
      <w:r>
        <w:rPr>
          <w:rFonts w:hint="eastAsia" w:ascii="仿宋_GB2312" w:hAnsi="仿宋_GB2312" w:eastAsia="仿宋_GB2312" w:cs="仿宋_GB2312"/>
          <w:sz w:val="32"/>
          <w:szCs w:val="32"/>
          <w:lang w:val="en-US" w:eastAsia="zh-CN"/>
        </w:rPr>
        <w:t>自2019年以来，已成功举办了五届。为持续打造龙华区阅读品牌IP，</w:t>
      </w:r>
      <w:r>
        <w:rPr>
          <w:rFonts w:hint="eastAsia" w:ascii="仿宋_GB2312" w:hAnsi="仿宋_GB2312" w:eastAsia="仿宋_GB2312" w:cs="仿宋_GB2312"/>
          <w:sz w:val="32"/>
          <w:szCs w:val="32"/>
        </w:rPr>
        <w:t>扩大</w:t>
      </w:r>
      <w:r>
        <w:rPr>
          <w:rFonts w:hint="eastAsia" w:ascii="仿宋_GB2312" w:hAnsi="仿宋_GB2312" w:eastAsia="仿宋_GB2312" w:cs="仿宋_GB2312"/>
          <w:sz w:val="32"/>
          <w:szCs w:val="32"/>
          <w:lang w:val="en-US" w:eastAsia="zh-CN"/>
        </w:rPr>
        <w:t>龙华区</w:t>
      </w:r>
      <w:r>
        <w:rPr>
          <w:rFonts w:hint="eastAsia" w:ascii="仿宋_GB2312" w:hAnsi="仿宋_GB2312" w:eastAsia="仿宋_GB2312" w:cs="仿宋_GB2312"/>
          <w:sz w:val="32"/>
          <w:szCs w:val="32"/>
        </w:rPr>
        <w:t>诗词大会的影响力，</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传播和弘扬中华</w:t>
      </w:r>
      <w:r>
        <w:rPr>
          <w:rFonts w:hint="eastAsia" w:ascii="仿宋_GB2312" w:hAnsi="仿宋_GB2312" w:eastAsia="仿宋_GB2312" w:cs="仿宋_GB2312"/>
          <w:sz w:val="32"/>
          <w:szCs w:val="32"/>
          <w:lang w:val="en-US" w:eastAsia="zh-CN"/>
        </w:rPr>
        <w:t>优秀传统文化，</w:t>
      </w:r>
      <w:r>
        <w:rPr>
          <w:rFonts w:hint="eastAsia" w:ascii="仿宋_GB2312" w:hAnsi="仿宋_GB2312" w:eastAsia="仿宋_GB2312" w:cs="仿宋_GB2312"/>
          <w:sz w:val="32"/>
          <w:szCs w:val="32"/>
        </w:rPr>
        <w:t>引导市民读者从悠久历史和灿烂文化中及取营养智慧，用书香和诗意装点生活，</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lang w:val="en-US" w:eastAsia="zh-CN"/>
        </w:rPr>
        <w:t>于9-11月</w:t>
      </w:r>
      <w:r>
        <w:rPr>
          <w:rFonts w:hint="eastAsia" w:ascii="仿宋_GB2312" w:hAnsi="仿宋_GB2312" w:eastAsia="仿宋_GB2312" w:cs="仿宋_GB2312"/>
          <w:sz w:val="32"/>
          <w:szCs w:val="32"/>
        </w:rPr>
        <w:t>开展龙华区第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届诗词大会。</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、时间安排</w:t>
      </w:r>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textAlignment w:val="auto"/>
        <w:rPr>
          <w:rFonts w:hint="default"/>
          <w:highlight w:val="none"/>
          <w:lang w:val="en-US"/>
        </w:rPr>
      </w:pPr>
      <w:r>
        <w:rPr>
          <w:rFonts w:hint="eastAsia" w:ascii="仿宋_GB2312" w:hAnsi="宋体" w:eastAsia="仿宋_GB2312"/>
          <w:sz w:val="32"/>
          <w:szCs w:val="32"/>
          <w:highlight w:val="none"/>
          <w:lang w:val="en-US" w:eastAsia="zh-CN"/>
        </w:rPr>
        <w:t>2024年9</w:t>
      </w:r>
      <w:r>
        <w:rPr>
          <w:rFonts w:hint="eastAsia" w:ascii="仿宋_GB2312" w:hAnsi="宋体" w:eastAsia="仿宋_GB2312"/>
          <w:sz w:val="32"/>
          <w:szCs w:val="32"/>
          <w:highlight w:val="none"/>
          <w:lang w:val="en" w:eastAsia="zh-CN"/>
        </w:rPr>
        <w:t>月</w:t>
      </w:r>
      <w:r>
        <w:rPr>
          <w:rFonts w:hint="eastAsia" w:ascii="仿宋_GB2312" w:hAnsi="宋体" w:eastAsia="仿宋_GB2312"/>
          <w:sz w:val="32"/>
          <w:szCs w:val="32"/>
          <w:highlight w:val="none"/>
          <w:lang w:val="en-US" w:eastAsia="zh-CN"/>
        </w:rPr>
        <w:t>-11月</w:t>
      </w:r>
    </w:p>
    <w:p>
      <w:pPr>
        <w:keepNext w:val="0"/>
        <w:keepLines w:val="0"/>
        <w:pageBreakBefore w:val="0"/>
        <w:numPr>
          <w:ilvl w:val="0"/>
          <w:numId w:val="0"/>
        </w:numPr>
        <w:tabs>
          <w:tab w:val="left" w:pos="1820"/>
        </w:tabs>
        <w:kinsoku/>
        <w:wordWrap/>
        <w:overflowPunct/>
        <w:topLinePunct w:val="0"/>
        <w:autoSpaceDE/>
        <w:autoSpaceDN/>
        <w:bidi w:val="0"/>
        <w:snapToGrid w:val="0"/>
        <w:spacing w:line="560" w:lineRule="exact"/>
        <w:ind w:right="0" w:righ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w:t>
      </w:r>
      <w:r>
        <w:rPr>
          <w:rFonts w:hint="eastAsia" w:ascii="黑体" w:hAnsi="黑体" w:eastAsia="黑体" w:cs="黑体"/>
          <w:b w:val="0"/>
          <w:bCs/>
          <w:sz w:val="32"/>
          <w:szCs w:val="32"/>
          <w:highlight w:val="none"/>
          <w:lang w:eastAsia="zh-CN"/>
        </w:rPr>
        <w:t>项目</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楷体_GB2312" w:hAnsi="仿宋" w:eastAsia="楷体_GB2312" w:cs="宋体"/>
          <w:color w:val="000000"/>
          <w:kern w:val="0"/>
          <w:sz w:val="32"/>
          <w:szCs w:val="32"/>
          <w:highlight w:val="none"/>
          <w:lang w:val="en-US" w:eastAsia="zh-CN" w:bidi="ar-SA"/>
        </w:rPr>
      </w:pPr>
      <w:r>
        <w:rPr>
          <w:rFonts w:hint="eastAsia" w:ascii="楷体_GB2312" w:hAnsi="仿宋" w:eastAsia="楷体_GB2312" w:cs="宋体"/>
          <w:color w:val="000000"/>
          <w:kern w:val="0"/>
          <w:sz w:val="32"/>
          <w:szCs w:val="32"/>
          <w:highlight w:val="none"/>
          <w:lang w:val="en-US" w:eastAsia="zh-CN" w:bidi="ar-SA"/>
        </w:rPr>
        <w:t>（一）项目内容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活动分为</w:t>
      </w:r>
      <w:r>
        <w:rPr>
          <w:rFonts w:hint="default" w:ascii="仿宋_GB2312" w:hAnsi="仿宋_GB2312" w:eastAsia="仿宋_GB2312" w:cs="仿宋_GB2312"/>
          <w:sz w:val="32"/>
          <w:szCs w:val="32"/>
          <w:highlight w:val="none"/>
          <w:lang w:val="en"/>
        </w:rPr>
        <w:t>报名、初赛</w:t>
      </w:r>
      <w:r>
        <w:rPr>
          <w:rFonts w:hint="eastAsia" w:ascii="仿宋_GB2312" w:hAnsi="仿宋_GB2312" w:eastAsia="仿宋_GB2312" w:cs="仿宋_GB2312"/>
          <w:sz w:val="32"/>
          <w:szCs w:val="32"/>
          <w:highlight w:val="none"/>
          <w:lang w:val="en-US" w:eastAsia="zh-CN"/>
        </w:rPr>
        <w:t>、线下分享培训</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US" w:eastAsia="zh-CN"/>
        </w:rPr>
        <w:t>晋级赛、</w:t>
      </w:r>
      <w:r>
        <w:rPr>
          <w:rFonts w:hint="default" w:ascii="仿宋_GB2312" w:hAnsi="仿宋_GB2312" w:eastAsia="仿宋_GB2312" w:cs="仿宋_GB2312"/>
          <w:sz w:val="32"/>
          <w:szCs w:val="32"/>
          <w:highlight w:val="none"/>
          <w:lang w:val="en"/>
        </w:rPr>
        <w:t>总决赛</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lang w:val="en-US" w:eastAsia="zh-CN"/>
        </w:rPr>
        <w:t>诗词文化展演六</w:t>
      </w:r>
      <w:r>
        <w:rPr>
          <w:rFonts w:hint="default" w:ascii="仿宋_GB2312" w:hAnsi="仿宋_GB2312" w:eastAsia="仿宋_GB2312" w:cs="仿宋_GB2312"/>
          <w:sz w:val="32"/>
          <w:szCs w:val="32"/>
          <w:lang w:val="en" w:eastAsia="zh-CN"/>
        </w:rPr>
        <w:t>个部分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1.报名</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面向所有诗词爱好者开放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不限地域、年龄、性别、职业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不限形式，</w:t>
      </w:r>
      <w:r>
        <w:rPr>
          <w:rFonts w:hint="eastAsia" w:ascii="仿宋_GB2312" w:hAnsi="仿宋_GB2312" w:eastAsia="仿宋_GB2312" w:cs="仿宋_GB2312"/>
          <w:sz w:val="32"/>
          <w:szCs w:val="32"/>
          <w:highlight w:val="none"/>
        </w:rPr>
        <w:t>鼓励多元化的诗词爱好者</w:t>
      </w:r>
      <w:r>
        <w:rPr>
          <w:rFonts w:hint="eastAsia" w:ascii="仿宋_GB2312" w:hAnsi="仿宋_GB2312" w:eastAsia="仿宋_GB2312" w:cs="仿宋_GB2312"/>
          <w:sz w:val="32"/>
          <w:szCs w:val="32"/>
          <w:highlight w:val="none"/>
          <w:lang w:val="en-US" w:eastAsia="zh-CN"/>
        </w:rPr>
        <w:t>组合</w:t>
      </w:r>
      <w:r>
        <w:rPr>
          <w:rFonts w:hint="eastAsia" w:ascii="仿宋_GB2312" w:hAnsi="仿宋_GB2312" w:eastAsia="仿宋_GB2312" w:cs="仿宋_GB2312"/>
          <w:sz w:val="32"/>
          <w:szCs w:val="32"/>
          <w:highlight w:val="none"/>
        </w:rPr>
        <w:t>参与，</w:t>
      </w:r>
      <w:r>
        <w:rPr>
          <w:rFonts w:hint="eastAsia" w:ascii="仿宋_GB2312" w:hAnsi="仿宋_GB2312" w:eastAsia="仿宋_GB2312" w:cs="仿宋_GB2312"/>
          <w:sz w:val="32"/>
          <w:szCs w:val="32"/>
          <w:lang w:val="en-US" w:eastAsia="zh-CN"/>
        </w:rPr>
        <w:t>活动相关信息及报名公告通过</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mp.weixin.qq.com/s?search_click_id=12586086201867279323-1694509870307-4685606464&amp;__biz=Mzg2NTU3MzU3NA==&amp;mid=2247531138&amp;idx=1&amp;sn=65e4762126fdd352b33c3e22febb585d&amp;chksm=ce5a352bf92dbc3dd8e27dbf0df3bdfae763b1b412092a7f14286bad1be16fd60c15c7b0d7d4&amp;key=3a4fa5a1383611c44e9cd77216a413de1eb5b8d0c099e8bd770943c1a31783c6c978509664e7919efb3580320494e241a4c018597f2ff54ea606e2f1c9c8aeb74b0e8af9539fda7de0af57cbf0ad32de52597343e017e8d2c80962163283a64bf007726a03136c7a31f6445b828e00e5bd4ca0fd01ba2cf7d77f892571a151b5&amp;ascene=0&amp;uin=MjA4NzEyNzAwMg==&amp;devicetype=Windows+11+x64&amp;version=6309021a&amp;lang=zh_CN&amp;countrycode=CN&amp;exportkey=n_ChQIAhIQiG96It+6P9I/qeKIGxKRGBLgAQIE97dBBAEAAAAAAGpFI4J4u3oAAAAOpnltbLcz9gKNyK89dVj0St1pk907er8bhlCBCde7pfeivHlK9hm4keBGEUUww6yLxOhH2Jvj5G05AltsmdQXV78pL0lXEZQx6e7hAHWwjBNjaBvrR4WfMPq2fDu673E8OA3tzSjELDwiBghVJ6LzM1gHIKAknY23Lpn4GSZ/sepi+wU8WIz1Ea7xkMKCKY3X5OYadbQ4wZHE59AKNDbVgIvFd1ubLz82nswwdLLA/kvlhbMBgHdofigWbJI2K7BuxfnYdEy0pN5X&amp;acctmode=0&amp;pass_ticket=m9uiA6/zF7h2+Uhoc7apNwKNUrlAJZQiCjompK/IzWzrZeBbVKTB6SLUOAgTKz9u&amp;wx_header=1&amp;fasttmpl_type=0&amp;fasttmpl_fullversion=6851911-zh_CN-zip&amp;fasttmpl_flag=1"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龙华文体云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微信</w:t>
      </w:r>
      <w:r>
        <w:rPr>
          <w:rFonts w:hint="default" w:ascii="仿宋_GB2312" w:hAnsi="仿宋_GB2312" w:eastAsia="仿宋_GB2312" w:cs="仿宋_GB2312"/>
          <w:sz w:val="32"/>
          <w:szCs w:val="32"/>
          <w:lang w:val="en-US" w:eastAsia="zh-CN"/>
        </w:rPr>
        <w:t>公众号</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“深圳市龙华区图书馆”微信公众号等渠道公布。也欢迎深圳市内外各中小学校及单位组织集中推举优秀种子选手报名参加。</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2.初赛</w:t>
      </w:r>
    </w:p>
    <w:p>
      <w:pPr>
        <w:spacing w:line="560" w:lineRule="exact"/>
        <w:ind w:firstLine="640" w:firstLineChars="200"/>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初赛海选,</w:t>
      </w:r>
      <w:r>
        <w:rPr>
          <w:rFonts w:hint="eastAsia" w:ascii="仿宋_GB2312" w:hAnsi="仿宋_GB2312" w:eastAsia="仿宋_GB2312" w:cs="仿宋_GB2312"/>
          <w:color w:val="auto"/>
          <w:sz w:val="32"/>
          <w:szCs w:val="32"/>
          <w:highlight w:val="none"/>
        </w:rPr>
        <w:t>根据报名人数遴选出若干名</w:t>
      </w:r>
      <w:r>
        <w:rPr>
          <w:rFonts w:hint="eastAsia" w:ascii="仿宋_GB2312" w:hAnsi="仿宋_GB2312" w:eastAsia="仿宋_GB2312" w:cs="仿宋_GB2312"/>
          <w:color w:val="auto"/>
          <w:sz w:val="32"/>
          <w:szCs w:val="32"/>
          <w:highlight w:val="none"/>
          <w:lang w:val="en-US" w:eastAsia="zh-CN"/>
        </w:rPr>
        <w:t>适合晋级的</w:t>
      </w:r>
      <w:r>
        <w:rPr>
          <w:rFonts w:hint="eastAsia" w:ascii="仿宋_GB2312" w:hAnsi="仿宋_GB2312" w:eastAsia="仿宋_GB2312" w:cs="仿宋_GB2312"/>
          <w:color w:val="auto"/>
          <w:sz w:val="32"/>
          <w:szCs w:val="32"/>
          <w:highlight w:val="none"/>
        </w:rPr>
        <w:t>选手</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3.线下分享培训</w:t>
      </w:r>
    </w:p>
    <w:p>
      <w:pPr>
        <w:ind w:firstLine="640" w:firstLineChars="200"/>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在活动期间，面向入围选手级广大诗词爱好者开展不少于4场的线下分享培训。</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4.晋级赛</w:t>
      </w:r>
    </w:p>
    <w:p>
      <w:pPr>
        <w:spacing w:line="560" w:lineRule="exact"/>
        <w:ind w:firstLine="640" w:firstLineChars="200"/>
        <w:rPr>
          <w:rFonts w:hint="default" w:ascii="仿宋_GB2312" w:hAnsi="仿宋_GB2312" w:eastAsia="仿宋_GB2312" w:cs="仿宋_GB2312"/>
          <w:bCs/>
          <w:color w:val="auto"/>
          <w:sz w:val="32"/>
          <w:szCs w:val="32"/>
          <w:highlight w:val="none"/>
          <w:lang w:val="en-US"/>
        </w:rPr>
      </w:pPr>
      <w:r>
        <w:rPr>
          <w:rFonts w:hint="eastAsia" w:ascii="仿宋_GB2312" w:hAnsi="仿宋_GB2312" w:eastAsia="仿宋_GB2312" w:cs="仿宋_GB2312"/>
          <w:bCs/>
          <w:color w:val="auto"/>
          <w:sz w:val="32"/>
          <w:szCs w:val="32"/>
          <w:highlight w:val="none"/>
        </w:rPr>
        <w:t>选拔出</w:t>
      </w:r>
      <w:r>
        <w:rPr>
          <w:rFonts w:hint="eastAsia" w:ascii="仿宋_GB2312" w:hAnsi="仿宋_GB2312" w:eastAsia="仿宋_GB2312" w:cs="仿宋_GB2312"/>
          <w:bCs/>
          <w:color w:val="auto"/>
          <w:sz w:val="32"/>
          <w:szCs w:val="32"/>
          <w:highlight w:val="none"/>
          <w:lang w:val="en-US" w:eastAsia="zh-CN"/>
        </w:rPr>
        <w:t>若干名优秀选手进入</w:t>
      </w:r>
      <w:r>
        <w:rPr>
          <w:rFonts w:hint="eastAsia" w:ascii="仿宋_GB2312" w:hAnsi="仿宋_GB2312" w:eastAsia="仿宋_GB2312" w:cs="仿宋_GB2312"/>
          <w:bCs/>
          <w:color w:val="auto"/>
          <w:sz w:val="32"/>
          <w:szCs w:val="32"/>
          <w:highlight w:val="none"/>
        </w:rPr>
        <w:t>总决赛。</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5.总决赛</w:t>
      </w:r>
    </w:p>
    <w:p>
      <w:pPr>
        <w:numPr>
          <w:ilvl w:val="0"/>
          <w:numId w:val="0"/>
        </w:numPr>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lang w:val="en-US" w:eastAsia="zh-CN"/>
        </w:rPr>
        <w:t>评选出本届诗词大会前三名，</w:t>
      </w:r>
      <w:r>
        <w:rPr>
          <w:rFonts w:hint="eastAsia" w:ascii="仿宋_GB2312" w:hAnsi="仿宋_GB2312" w:eastAsia="仿宋_GB2312" w:cs="仿宋_GB2312"/>
          <w:bCs/>
          <w:color w:val="auto"/>
          <w:sz w:val="32"/>
          <w:szCs w:val="32"/>
          <w:lang w:val="en-US" w:eastAsia="zh-CN"/>
        </w:rPr>
        <w:t>线上线下同步开展。</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6.诗词文化展演</w:t>
      </w:r>
    </w:p>
    <w:p>
      <w:pPr>
        <w:numPr>
          <w:ilvl w:val="0"/>
          <w:numId w:val="0"/>
        </w:numPr>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具体包括本届诗词大会颁奖仪式环节及诗词文化展演等环节，</w:t>
      </w:r>
      <w:r>
        <w:rPr>
          <w:rFonts w:hint="eastAsia" w:ascii="仿宋_GB2312" w:hAnsi="仿宋_GB2312" w:eastAsia="仿宋_GB2312" w:cs="仿宋_GB2312"/>
          <w:bCs/>
          <w:color w:val="auto"/>
          <w:sz w:val="32"/>
          <w:szCs w:val="32"/>
          <w:lang w:val="en-US" w:eastAsia="zh-CN"/>
        </w:rPr>
        <w:t>线上线下同步开展。</w:t>
      </w:r>
    </w:p>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楷体_GB2312" w:hAnsi="仿宋" w:eastAsia="楷体_GB2312" w:cs="宋体"/>
          <w:color w:val="000000"/>
          <w:kern w:val="0"/>
          <w:sz w:val="32"/>
          <w:szCs w:val="32"/>
          <w:lang w:val="en-US" w:eastAsia="zh-CN" w:bidi="ar-SA"/>
        </w:rPr>
      </w:pPr>
      <w:r>
        <w:rPr>
          <w:rFonts w:hint="eastAsia" w:ascii="楷体_GB2312" w:hAnsi="仿宋" w:eastAsia="楷体_GB2312" w:cs="宋体"/>
          <w:color w:val="000000"/>
          <w:kern w:val="0"/>
          <w:sz w:val="32"/>
          <w:szCs w:val="32"/>
          <w:lang w:val="en-US" w:eastAsia="zh-CN" w:bidi="ar-SA"/>
        </w:rPr>
        <w:t>（二）具体需求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 w:eastAsia="仿宋_GB2312" w:cs="仿宋"/>
          <w:sz w:val="32"/>
          <w:szCs w:val="32"/>
          <w:lang w:val="en-US" w:eastAsia="zh-CN"/>
        </w:rPr>
        <w:t>1.</w:t>
      </w:r>
      <w:r>
        <w:rPr>
          <w:rFonts w:hint="eastAsia" w:ascii="仿宋_GB2312" w:hAnsi="仿宋_GB2312" w:eastAsia="仿宋_GB2312" w:cs="仿宋_GB2312"/>
          <w:color w:val="auto"/>
          <w:kern w:val="0"/>
          <w:sz w:val="32"/>
          <w:szCs w:val="32"/>
        </w:rPr>
        <w:t>要高度重视此次活动的开展，深刻领会活动对向全社会弘扬优秀传统文化、促进素质教育全面实施的重要意义。</w:t>
      </w:r>
    </w:p>
    <w:p>
      <w:pPr>
        <w:numPr>
          <w:ilvl w:val="0"/>
          <w:numId w:val="0"/>
        </w:num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Cs/>
          <w:sz w:val="32"/>
          <w:szCs w:val="32"/>
          <w:lang w:val="en-US" w:eastAsia="zh-CN"/>
        </w:rPr>
        <w:t>2.负责组织策划该项目具体执行方案，活动开办形式新颖有亮点，包括但不限于制定科学合理的初赛、晋级赛、总决赛赛制、诗词文化展演的策划工作等；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3.负责赛事题库的开发及维护，剔重往届旧主题旧题型，拓展赛事题库的深度和广度；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4.负责赛事招募宣传及推广工作，鼓励创新宣传推广手段，活跃活动氛围，提升话题度，拓宽推广面，并按照赛事进程撰写活动通稿；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 w:eastAsia="仿宋_GB2312" w:cs="仿宋"/>
          <w:sz w:val="32"/>
          <w:szCs w:val="32"/>
          <w:highlight w:val="none"/>
          <w:lang w:val="en-US" w:eastAsia="zh-CN"/>
        </w:rPr>
        <w:t>5.</w:t>
      </w:r>
      <w:r>
        <w:rPr>
          <w:rFonts w:hint="eastAsia" w:ascii="仿宋_GB2312" w:hAnsi="仿宋_GB2312" w:eastAsia="仿宋_GB2312" w:cs="仿宋_GB2312"/>
          <w:color w:val="auto"/>
          <w:kern w:val="0"/>
          <w:sz w:val="32"/>
          <w:szCs w:val="32"/>
          <w:highlight w:val="none"/>
          <w:lang w:val="en-US" w:eastAsia="zh-CN"/>
        </w:rPr>
        <w:t>负责赛事各阶段活动的组织、开展与落实工作。</w:t>
      </w:r>
      <w:r>
        <w:rPr>
          <w:rFonts w:hint="eastAsia" w:ascii="仿宋_GB2312" w:hAnsi="仿宋_GB2312" w:eastAsia="仿宋_GB2312" w:cs="仿宋_GB2312"/>
          <w:color w:val="auto"/>
          <w:kern w:val="0"/>
          <w:sz w:val="32"/>
          <w:szCs w:val="32"/>
          <w:lang w:val="en-US" w:eastAsia="zh-CN" w:bidi="ar-SA"/>
        </w:rPr>
        <w:t>其中，线下分享培训以讲座形式开展，不低于4场，平均每场2课时；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6.负责赛事的摄影摄像及影像资料整理工作，包括</w:t>
      </w:r>
      <w:r>
        <w:rPr>
          <w:rFonts w:hint="eastAsia" w:ascii="仿宋_GB2312" w:hAnsi="仿宋_GB2312" w:eastAsia="仿宋_GB2312" w:cs="仿宋_GB2312"/>
          <w:color w:val="auto"/>
          <w:kern w:val="0"/>
          <w:sz w:val="32"/>
          <w:szCs w:val="32"/>
          <w:highlight w:val="none"/>
          <w:lang w:val="en-US" w:eastAsia="zh-CN"/>
        </w:rPr>
        <w:t>赛事各阶段活动现场实时照片直播，初赛、晋级赛、总决赛3场的视频剪辑回顾工作，总决赛及诗词文化展演现场同步视频直播工作；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highlight w:val="none"/>
          <w:lang w:val="en-US" w:eastAsia="zh-CN"/>
        </w:rPr>
        <w:t>负责赛事各阶段活动宣传物料的设计及制作，包括但不限于各阶段宣传展板、打卡点、路线指引、节目单、座位贴等；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8.负责配备赛事各阶段活动现场所需的各类设备，包括但不限于音响设备、舞台灯光设备、答题系统等；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9.负责赛事各阶段活动现场所需物料、设备、道具的运输、布置、包装、搭建及复原清洁工作</w:t>
      </w:r>
      <w:r>
        <w:rPr>
          <w:rFonts w:hint="eastAsia" w:ascii="仿宋_GB2312" w:hAnsi="仿宋" w:eastAsia="仿宋_GB2312"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bidi="ar-SA"/>
        </w:rPr>
        <w:t>10.负责赛事导师邀请等工作。导师主要协助组委会选拔优秀选手进入决赛，并对本届选手进行相关培训提升认知，同时在全区进行诗词文化的普及传播。</w:t>
      </w:r>
      <w:r>
        <w:rPr>
          <w:rFonts w:hint="eastAsia" w:ascii="仿宋_GB2312" w:hAnsi="仿宋" w:eastAsia="仿宋_GB2312" w:cs="仿宋"/>
          <w:sz w:val="32"/>
          <w:szCs w:val="32"/>
          <w:highlight w:val="none"/>
          <w:lang w:val="en-US" w:eastAsia="zh-CN"/>
        </w:rPr>
        <w:t>400元/课时，初赛、晋级赛、总决赛现场导师均不少于6位，具体视报名情况配合调整；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default" w:ascii="仿宋_GB2312" w:hAnsi="仿宋" w:eastAsia="仿宋_GB2312" w:cs="仿宋"/>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仿宋" w:eastAsia="仿宋_GB2312" w:cs="仿宋"/>
          <w:sz w:val="32"/>
          <w:szCs w:val="32"/>
          <w:highlight w:val="none"/>
          <w:lang w:val="en-US" w:eastAsia="zh-CN"/>
        </w:rPr>
        <w:t>负责赛事所需主持人的邀请工作，及总决赛、诗词文化展演阶段主持人、导师及选手的妆发安排；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 w:eastAsia="仿宋_GB2312" w:cs="仿宋"/>
          <w:sz w:val="32"/>
          <w:szCs w:val="32"/>
          <w:highlight w:val="none"/>
          <w:lang w:val="en-US" w:eastAsia="zh-CN"/>
        </w:rPr>
        <w:t>负责制作总决赛现场所需的比赛规则介绍视频；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13.负责设计、编排、制作总决赛所需的创新型考核题目，该考核题目题材不限于传统沙画、中国舞、艺术绘画、麦金画等种类，该类题目数量不得少于5个；</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14.负责诗词文化展演的舞美设计工作；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15.负责策划编排诗词文化展演现场观赏性强的表演节目；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 w:eastAsia="仿宋_GB2312" w:cs="仿宋"/>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16.负责诗词文化展演的舞台包装、舞台布景和道具制作；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17.负责赛事各阶段参赛证书的设计制作工作；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 w:eastAsia="仿宋_GB2312" w:cs="仿宋"/>
          <w:sz w:val="32"/>
          <w:szCs w:val="32"/>
          <w:highlight w:val="none"/>
          <w:lang w:val="en-US" w:eastAsia="zh-CN"/>
        </w:rPr>
        <w:t>18.负责赛事获奖证书的设计制作及奖品采购工作</w:t>
      </w:r>
      <w:r>
        <w:rPr>
          <w:rFonts w:hint="eastAsia" w:ascii="仿宋_GB2312" w:hAnsi="仿宋_GB2312" w:eastAsia="仿宋_GB2312" w:cs="仿宋_GB2312"/>
          <w:color w:val="auto"/>
          <w:kern w:val="0"/>
          <w:sz w:val="32"/>
          <w:szCs w:val="32"/>
          <w:highlight w:val="none"/>
          <w:lang w:val="en-US" w:eastAsia="zh-CN"/>
        </w:rPr>
        <w:t>；</w:t>
      </w:r>
    </w:p>
    <w:p>
      <w:pPr>
        <w:spacing w:line="56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19.负责制作总决赛阶段导师及参赛选手的战队宣传照，</w:t>
      </w:r>
      <w:r>
        <w:rPr>
          <w:rFonts w:hint="eastAsia" w:ascii="仿宋_GB2312" w:hAnsi="仿宋_GB2312" w:eastAsia="仿宋_GB2312" w:cs="仿宋_GB2312"/>
          <w:bCs/>
          <w:sz w:val="32"/>
          <w:szCs w:val="32"/>
          <w:highlight w:val="none"/>
        </w:rPr>
        <w:t>用于网络</w:t>
      </w:r>
      <w:r>
        <w:rPr>
          <w:rFonts w:hint="eastAsia" w:ascii="仿宋_GB2312" w:hAnsi="仿宋_GB2312" w:eastAsia="仿宋_GB2312" w:cs="仿宋_GB2312"/>
          <w:bCs/>
          <w:sz w:val="32"/>
          <w:szCs w:val="32"/>
          <w:highlight w:val="none"/>
          <w:lang w:val="en-US" w:eastAsia="zh-CN"/>
        </w:rPr>
        <w:t>宣传展示；</w:t>
      </w:r>
    </w:p>
    <w:p>
      <w:pPr>
        <w:spacing w:line="56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kern w:val="0"/>
          <w:sz w:val="32"/>
          <w:szCs w:val="32"/>
          <w:lang w:val="en-US" w:eastAsia="zh-CN"/>
        </w:rPr>
        <w:t>20.做好后勤保障工作，根据实际情况保障现场工作及相关人员的用餐、用水等；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21.负责所有参赛选手及相关参与人员的统筹和组织工作，安全保障工作，高度重视安全工作，</w:t>
      </w:r>
      <w:r>
        <w:rPr>
          <w:rFonts w:hint="eastAsia" w:ascii="仿宋_GB2312" w:hAnsi="仿宋_GB2312" w:eastAsia="仿宋_GB2312" w:cs="仿宋_GB2312"/>
          <w:color w:val="auto"/>
          <w:kern w:val="0"/>
          <w:sz w:val="32"/>
          <w:szCs w:val="32"/>
          <w:highlight w:val="none"/>
        </w:rPr>
        <w:t>确保活动有序开展</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kern w:val="0"/>
          <w:sz w:val="32"/>
          <w:szCs w:val="32"/>
          <w:highlight w:val="none"/>
          <w:lang w:val="en-US" w:eastAsia="zh-CN"/>
        </w:rPr>
        <w:t>22.整个活动必须坚持公平公正原则，严禁徇私舞弊，以学习、弘扬传统文化为主要目的，各参赛选手严格按照活动规则积</w:t>
      </w:r>
      <w:r>
        <w:rPr>
          <w:rFonts w:hint="eastAsia" w:ascii="仿宋_GB2312" w:hAnsi="仿宋_GB2312" w:eastAsia="仿宋_GB2312" w:cs="仿宋_GB2312"/>
          <w:sz w:val="32"/>
          <w:szCs w:val="32"/>
          <w:highlight w:val="none"/>
        </w:rPr>
        <w:t>极参赛。</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23.本活动所涉及文字、照片、视频影像等资料版权最终归主办方所有；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24.由于供应商原因造成活动物料质量低劣，不能满足采购方要求时，应继续完善试验工作，其费用由供应商承担；</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25.由于不可抗力因素、场地或人员安排冲突等原因导致活动改期，供应商应积极配合，并提供最优解决方案；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ascii="仿宋_GB2312" w:hAnsi="仿宋" w:eastAsia="仿宋_GB2312" w:cs="仿宋"/>
          <w:sz w:val="32"/>
          <w:szCs w:val="32"/>
          <w:highlight w:val="none"/>
          <w:lang w:val="en-US" w:eastAsia="zh-CN"/>
        </w:rPr>
        <w:t>26.完成采购方要求的其他相关工作，保证活动高质量完成。</w:t>
      </w:r>
    </w:p>
    <w:p>
      <w:pPr>
        <w:pStyle w:val="3"/>
        <w:ind w:left="0" w:leftChars="0" w:firstLine="0" w:firstLineChars="0"/>
        <w:rPr>
          <w:rFonts w:hint="default" w:eastAsia="仿宋_GB2312"/>
          <w:lang w:val="en-US" w:eastAsia="zh-CN"/>
        </w:rPr>
      </w:pPr>
    </w:p>
    <w:p>
      <w:pPr>
        <w:numPr>
          <w:ilvl w:val="0"/>
          <w:numId w:val="2"/>
        </w:numPr>
        <w:tabs>
          <w:tab w:val="left" w:pos="1820"/>
        </w:tabs>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报价限额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 w:eastAsia="仿宋_GB2312" w:cs="仿宋"/>
          <w:sz w:val="32"/>
          <w:szCs w:val="32"/>
          <w:lang w:eastAsia="zh-CN"/>
        </w:rPr>
        <w:t>项目报价不得超过</w:t>
      </w:r>
      <w:r>
        <w:rPr>
          <w:rFonts w:hint="eastAsia" w:ascii="仿宋_GB2312" w:hAnsi="仿宋" w:eastAsia="仿宋_GB2312" w:cs="仿宋"/>
          <w:sz w:val="32"/>
          <w:szCs w:val="32"/>
          <w:lang w:val="en-US" w:eastAsia="zh-CN"/>
        </w:rPr>
        <w:t>40</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w:t>
      </w:r>
      <w:r>
        <w:rPr>
          <w:rFonts w:hint="eastAsia" w:ascii="仿宋_GB2312" w:hAnsi="仿宋_GB2312" w:eastAsia="仿宋_GB2312" w:cs="仿宋_GB2312"/>
          <w:kern w:val="2"/>
          <w:sz w:val="32"/>
          <w:szCs w:val="32"/>
          <w:highlight w:val="none"/>
          <w:lang w:val="en-US" w:eastAsia="zh-CN" w:bidi="ar-SA"/>
        </w:rPr>
        <w:t>其中各项目报价不得超过对应的单项限额。</w:t>
      </w:r>
    </w:p>
    <w:tbl>
      <w:tblPr>
        <w:tblStyle w:val="8"/>
        <w:tblW w:w="8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7"/>
        <w:gridCol w:w="1755"/>
        <w:gridCol w:w="825"/>
        <w:gridCol w:w="810"/>
        <w:gridCol w:w="1650"/>
        <w:gridCol w:w="2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项目内容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单项限额（元）</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10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总项目部分</w:t>
            </w: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题库开发</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22"/>
                <w:szCs w:val="22"/>
                <w:highlight w:val="none"/>
                <w:u w:val="none"/>
                <w:lang w:val="en-US" w:eastAsia="zh-CN" w:bidi="ar"/>
              </w:rPr>
              <w:t>￥22,000.00</w:t>
            </w: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包括初赛晋级赛决赛所有赛次的题库，诗词理论知识编排、编写诗词知识试题、题型和题目内容的开发设计、考点分类、答案解析等</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题库创建很重要的工作是剔重，需把往届出现过的题目全部筛除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活动宣传</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摄影摄像及影像资料整理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￥41,700.00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包括全赛事照片直播、总决赛及诗词文化展演现场视频直播、初赛、晋级赛、总决赛 3场赛事回顾视频制作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活动宣传物料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包括赛程全阶段主题展板、路线指引展架、节目单、名字贴等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初赛</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（为期2天）</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音响设备</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（租赁）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￥26,600.00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含手持麦、耳麦，2天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人员劳务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含6名导师及1名主持人劳务费用，按400元/课时计算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晋级赛</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音响设备</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（租赁）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￥13,300.00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含手持麦、耳麦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110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人员劳务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含6名导师及1名主持人劳务费用，按400元/课时计算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110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总决赛</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设备及道具</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（租赁）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￥63,600.00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中型舞台音响及答题系统，含屏幕、音响控制台及操控系统、计时系统、抢答系统租赁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11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舞台包装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含舞台延伸+地毯包装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10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人员劳务</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含6名导师、1名主持人、2名化妆师劳务费用，按400元/课时计算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比赛规则视频制作</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根据本届赛制用动画特效制作合适的比赛规则视频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创新型考核题目制作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该类题目数量不得少于5个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运输及装台</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来回两趟+拆装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后勤保障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工作人员误餐、用水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诗词文化展演</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设备搭建</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（租赁）</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￥229, 600.00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演出级专业舞台音响、专业舞台灯光搭建、LED大屏租赁等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舞美设计及舞台包装、布景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根据活动主题进行贴合的舞美设计工作，含舞台多款置景设计、灯光效果设计等；</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舞台包装，</w:t>
            </w:r>
            <w:r>
              <w:rPr>
                <w:rStyle w:val="20"/>
                <w:lang w:val="en-US" w:eastAsia="zh-CN" w:bidi="ar"/>
              </w:rPr>
              <w:t>舞台布景、道具制作</w:t>
            </w:r>
            <w:r>
              <w:rPr>
                <w:rStyle w:val="21"/>
                <w:lang w:val="en-US" w:eastAsia="zh-CN" w:bidi="ar"/>
              </w:rPr>
              <w:t>（按照节目形式需求制作）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表演节目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包含节目创编、彩排、演出、演员邀请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人员劳务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灯光师、音控师、主持人、化妆师</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（彩排+正式演出）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证书奖杯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包括全赛段参赛纪念证书的设计、制作；以及获奖者奖杯采购。为每位参赛选手发放参赛证书。按照往届报名情况，证书最终发放不少于300份。最终实际发放数量以报名情况为准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运输及装台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来回两趟+拆装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后勤保障</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工作人员误餐、用水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线下分享培训</w:t>
            </w: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人员劳务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￥3,200.00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该线下课堂面向诗词爱好者及入围选手而在图书馆开设的经典诗词分享活动，主要含4场讲座的导师劳务，按400元/课时计算。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（2）参与本项目投标近三年内（供应商成立不足三年的可从成立之日起算），在经营活动中没有重大违法记录以及不存在被有关部门禁止参与政府采购活动且在有效期内的情况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 w:eastAsia="仿宋_GB2312"/>
          <w:color w:val="auto"/>
          <w:sz w:val="32"/>
          <w:highlight w:val="none"/>
        </w:rPr>
      </w:pPr>
      <w:r>
        <w:rPr>
          <w:rFonts w:hint="eastAsia" w:ascii="仿宋_GB2312" w:hAnsi="仿宋" w:eastAsia="仿宋_GB2312"/>
          <w:color w:val="auto"/>
          <w:sz w:val="32"/>
          <w:highlight w:val="none"/>
          <w:lang w:eastAsia="zh-CN"/>
        </w:rPr>
        <w:t>综合评分</w:t>
      </w:r>
      <w:r>
        <w:rPr>
          <w:rFonts w:hint="eastAsia" w:ascii="仿宋_GB2312" w:hAnsi="仿宋" w:eastAsia="仿宋_GB2312"/>
          <w:color w:val="auto"/>
          <w:sz w:val="32"/>
          <w:highlight w:val="none"/>
        </w:rPr>
        <w:t>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9"/>
        <w:keepNext w:val="0"/>
        <w:keepLines w:val="0"/>
        <w:pageBreakBefore w:val="0"/>
        <w:numPr>
          <w:ilvl w:val="0"/>
          <w:numId w:val="3"/>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评分权重</w:t>
      </w:r>
    </w:p>
    <w:p>
      <w:pPr>
        <w:pStyle w:val="19"/>
        <w:keepNext w:val="0"/>
        <w:keepLines w:val="0"/>
        <w:pageBreakBefore w:val="0"/>
        <w:numPr>
          <w:ilvl w:val="0"/>
          <w:numId w:val="0"/>
        </w:numPr>
        <w:kinsoku/>
        <w:wordWrap/>
        <w:overflowPunct/>
        <w:topLinePunct w:val="0"/>
        <w:autoSpaceDE/>
        <w:autoSpaceDN/>
        <w:bidi w:val="0"/>
        <w:spacing w:line="560" w:lineRule="exact"/>
        <w:textAlignment w:val="auto"/>
        <w:rPr>
          <w:rFonts w:hint="eastAsia" w:ascii="楷体" w:hAnsi="楷体" w:eastAsia="楷体" w:cs="楷体"/>
          <w:b w:val="0"/>
          <w:bCs/>
          <w:color w:val="000000"/>
          <w:sz w:val="32"/>
          <w:szCs w:val="32"/>
          <w:highlight w:val="none"/>
        </w:rPr>
      </w:pPr>
    </w:p>
    <w:tbl>
      <w:tblPr>
        <w:tblStyle w:val="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296"/>
        <w:gridCol w:w="229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296"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295"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460"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296"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2295"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2460"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30分</w:t>
            </w:r>
          </w:p>
        </w:tc>
      </w:tr>
    </w:tbl>
    <w:p>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auto"/>
          <w:sz w:val="32"/>
          <w:szCs w:val="32"/>
          <w:highlight w:val="none"/>
          <w:lang w:eastAsia="zh-CN"/>
        </w:rPr>
      </w:pPr>
    </w:p>
    <w:p>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楷体" w:hAnsi="楷体" w:eastAsia="楷体" w:cs="楷体"/>
          <w:b w:val="0"/>
          <w:bCs/>
          <w:color w:val="auto"/>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8"/>
        <w:tblW w:w="888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2733"/>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374"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45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0" w:hRule="atLeast"/>
        </w:trPr>
        <w:tc>
          <w:tcPr>
            <w:tcW w:w="5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1122" w:type="dxa"/>
            <w:noWrap w:val="0"/>
            <w:vAlign w:val="center"/>
          </w:tcPr>
          <w:p>
            <w:pPr>
              <w:spacing w:line="400" w:lineRule="exact"/>
              <w:jc w:val="center"/>
              <w:rPr>
                <w:rFonts w:hint="default" w:ascii="仿宋_GB2312" w:hAnsi="仿宋_GB2312" w:eastAsia="仿宋_GB2312" w:cs="仿宋_GB2312"/>
                <w:b w:val="0"/>
                <w:bCs/>
                <w:color w:val="auto"/>
                <w:kern w:val="0"/>
                <w:sz w:val="24"/>
                <w:szCs w:val="24"/>
                <w:highlight w:val="yellow"/>
                <w:lang w:val="en-US" w:eastAsia="zh-CN" w:bidi="ar-SA"/>
              </w:rPr>
            </w:pPr>
            <w:r>
              <w:rPr>
                <w:rFonts w:hint="eastAsia" w:ascii="仿宋_GB2312" w:hAnsi="仿宋_GB2312" w:eastAsia="仿宋_GB2312" w:cs="仿宋_GB2312"/>
                <w:bCs/>
                <w:sz w:val="24"/>
                <w:szCs w:val="24"/>
                <w:highlight w:val="none"/>
              </w:rPr>
              <w:t>同类项目业绩（10分）</w:t>
            </w:r>
          </w:p>
        </w:tc>
        <w:tc>
          <w:tcPr>
            <w:tcW w:w="2733" w:type="dxa"/>
            <w:noWrap w:val="0"/>
            <w:vAlign w:val="center"/>
          </w:tcPr>
          <w:p>
            <w:pPr>
              <w:spacing w:line="400" w:lineRule="exact"/>
              <w:jc w:val="left"/>
              <w:rPr>
                <w:rFonts w:hint="eastAsia" w:ascii="仿宋_GB2312" w:hAnsi="仿宋_GB2312" w:eastAsia="仿宋_GB2312" w:cs="仿宋_GB2312"/>
                <w:b w:val="0"/>
                <w:bCs/>
                <w:color w:val="auto"/>
                <w:kern w:val="2"/>
                <w:sz w:val="24"/>
                <w:szCs w:val="24"/>
                <w:highlight w:val="yellow"/>
                <w:lang w:val="en-US" w:eastAsia="zh-CN" w:bidi="ar-SA"/>
              </w:rPr>
            </w:pPr>
            <w:r>
              <w:rPr>
                <w:rFonts w:hint="eastAsia" w:ascii="仿宋_GB2312" w:hAnsi="仿宋_GB2312" w:eastAsia="仿宋_GB2312" w:cs="仿宋_GB2312"/>
                <w:b w:val="0"/>
                <w:bCs/>
                <w:color w:val="000000"/>
                <w:sz w:val="24"/>
                <w:szCs w:val="24"/>
                <w:highlight w:val="none"/>
                <w:lang w:eastAsia="zh-CN"/>
              </w:rPr>
              <w:t>自20</w:t>
            </w:r>
            <w:r>
              <w:rPr>
                <w:rFonts w:hint="eastAsia" w:ascii="仿宋_GB2312" w:hAnsi="仿宋_GB2312" w:eastAsia="仿宋_GB2312" w:cs="仿宋_GB2312"/>
                <w:b w:val="0"/>
                <w:bCs/>
                <w:color w:val="000000"/>
                <w:sz w:val="24"/>
                <w:szCs w:val="24"/>
                <w:highlight w:val="none"/>
                <w:lang w:val="en-US" w:eastAsia="zh-CN"/>
              </w:rPr>
              <w:t>21</w:t>
            </w:r>
            <w:r>
              <w:rPr>
                <w:rFonts w:hint="eastAsia" w:ascii="仿宋_GB2312" w:hAnsi="仿宋_GB2312" w:eastAsia="仿宋_GB2312" w:cs="仿宋_GB2312"/>
                <w:b w:val="0"/>
                <w:bCs/>
                <w:color w:val="000000"/>
                <w:sz w:val="24"/>
                <w:szCs w:val="24"/>
                <w:highlight w:val="none"/>
                <w:lang w:eastAsia="zh-CN"/>
              </w:rPr>
              <w:t>年1月1日起至本项目投标截止之日止（以合同签约时间为准），投标人提供一个</w:t>
            </w:r>
            <w:r>
              <w:rPr>
                <w:rFonts w:hint="eastAsia" w:ascii="仿宋_GB2312" w:hAnsi="仿宋_GB2312" w:eastAsia="仿宋_GB2312" w:cs="仿宋_GB2312"/>
                <w:b w:val="0"/>
                <w:bCs/>
                <w:color w:val="000000"/>
                <w:sz w:val="24"/>
                <w:szCs w:val="24"/>
                <w:highlight w:val="none"/>
                <w:lang w:val="en-US" w:eastAsia="zh-CN"/>
              </w:rPr>
              <w:t>文化活动类</w:t>
            </w:r>
            <w:r>
              <w:rPr>
                <w:rFonts w:hint="eastAsia" w:ascii="仿宋_GB2312" w:hAnsi="仿宋_GB2312" w:eastAsia="仿宋_GB2312" w:cs="仿宋_GB2312"/>
                <w:b w:val="0"/>
                <w:bCs/>
                <w:color w:val="000000"/>
                <w:sz w:val="24"/>
                <w:szCs w:val="24"/>
                <w:highlight w:val="none"/>
                <w:lang w:eastAsia="zh-CN"/>
              </w:rPr>
              <w:t xml:space="preserve">业绩5分，本项最高得分10分。 </w:t>
            </w:r>
          </w:p>
        </w:tc>
        <w:tc>
          <w:tcPr>
            <w:tcW w:w="4515" w:type="dxa"/>
            <w:noWrap w:val="0"/>
            <w:vAlign w:val="center"/>
          </w:tcPr>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1.投标人提供相关证明资料作为得分依据，同时提供合同关键信息（包括但不限于：合同名称页、合同主要内容页、合同签订日期页、合同双方签字盖章页）作为得分依据。</w:t>
            </w:r>
          </w:p>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2.一年一签的长期服务续签合同（即同一中标服务期内或同一个项目只计算为一个业绩），不重复计分。</w:t>
            </w:r>
          </w:p>
          <w:p>
            <w:pPr>
              <w:spacing w:line="400" w:lineRule="exact"/>
              <w:jc w:val="left"/>
              <w:rPr>
                <w:rFonts w:hint="eastAsia" w:ascii="仿宋_GB2312" w:hAnsi="仿宋_GB2312" w:eastAsia="仿宋_GB2312" w:cs="仿宋_GB2312"/>
                <w:b w:val="0"/>
                <w:bCs/>
                <w:color w:val="auto"/>
                <w:kern w:val="2"/>
                <w:sz w:val="24"/>
                <w:szCs w:val="24"/>
                <w:highlight w:val="yellow"/>
                <w:lang w:val="en-US" w:eastAsia="zh-CN" w:bidi="ar-SA"/>
              </w:rPr>
            </w:pPr>
            <w:r>
              <w:rPr>
                <w:rFonts w:hint="eastAsia" w:ascii="仿宋_GB2312" w:hAnsi="仿宋_GB2312" w:eastAsia="仿宋_GB2312" w:cs="仿宋_GB2312"/>
                <w:bCs/>
                <w:sz w:val="24"/>
                <w:szCs w:val="24"/>
                <w:highlight w:val="none"/>
              </w:rPr>
              <w:t>3.未提供证明材料或者提供的证明材料不符合要求或提供的证明材料不清晰采购监督小组无法辨认的，不得分。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spacing w:line="400" w:lineRule="exact"/>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诚信评价</w:t>
            </w:r>
          </w:p>
          <w:p>
            <w:pPr>
              <w:spacing w:line="400" w:lineRule="exact"/>
              <w:jc w:val="center"/>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Cs/>
                <w:sz w:val="24"/>
                <w:szCs w:val="24"/>
                <w:highlight w:val="none"/>
              </w:rPr>
              <w:t>（5分）</w:t>
            </w:r>
          </w:p>
        </w:tc>
        <w:tc>
          <w:tcPr>
            <w:tcW w:w="2733" w:type="dxa"/>
            <w:noWrap w:val="0"/>
            <w:vAlign w:val="center"/>
          </w:tcPr>
          <w:p>
            <w:pPr>
              <w:spacing w:line="400" w:lineRule="exac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Cs/>
                <w:sz w:val="24"/>
                <w:szCs w:val="24"/>
                <w:highlight w:val="none"/>
              </w:rPr>
              <w:t>投标人在参与政府采购活动中不存在诚信相关问题且不在主管部门相关处理措施实施期限内的。</w:t>
            </w:r>
          </w:p>
        </w:tc>
        <w:tc>
          <w:tcPr>
            <w:tcW w:w="4515" w:type="dxa"/>
            <w:noWrap w:val="0"/>
            <w:vAlign w:val="center"/>
          </w:tcPr>
          <w:p>
            <w:pPr>
              <w:spacing w:line="400" w:lineRule="exact"/>
              <w:jc w:val="left"/>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Cs/>
                <w:sz w:val="24"/>
                <w:szCs w:val="24"/>
                <w:highlight w:val="none"/>
              </w:rPr>
              <w:t>提供《诚信承诺函》得5分，未提供不得分</w:t>
            </w:r>
            <w:r>
              <w:rPr>
                <w:rFonts w:hint="eastAsia" w:ascii="仿宋_GB2312" w:hAnsi="仿宋_GB2312" w:eastAsia="仿宋_GB2312" w:cs="仿宋_GB2312"/>
                <w:bCs/>
                <w:sz w:val="24"/>
                <w:szCs w:val="24"/>
                <w:highlight w:val="none"/>
                <w:lang w:eastAsia="zh-CN"/>
              </w:rPr>
              <w:t>，格式自拟</w:t>
            </w:r>
            <w:r>
              <w:rPr>
                <w:rFonts w:hint="eastAsia" w:ascii="仿宋_GB2312" w:hAnsi="仿宋_GB2312" w:eastAsia="仿宋_GB2312" w:cs="仿宋_GB2312"/>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spacing w:line="400" w:lineRule="exact"/>
              <w:jc w:val="center"/>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服务承诺</w:t>
            </w:r>
            <w:r>
              <w:rPr>
                <w:rFonts w:hint="eastAsia" w:ascii="仿宋_GB2312" w:hAnsi="仿宋_GB2312" w:eastAsia="仿宋_GB2312" w:cs="仿宋_GB2312"/>
                <w:bCs/>
                <w:sz w:val="24"/>
                <w:szCs w:val="24"/>
                <w:highlight w:val="none"/>
                <w:lang w:eastAsia="zh-CN"/>
              </w:rPr>
              <w:t>书与违约承诺书</w:t>
            </w:r>
          </w:p>
          <w:p>
            <w:pPr>
              <w:spacing w:line="400" w:lineRule="exact"/>
              <w:jc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Cs/>
                <w:sz w:val="24"/>
                <w:szCs w:val="24"/>
                <w:highlight w:val="none"/>
              </w:rPr>
              <w:t>（5分）</w:t>
            </w:r>
          </w:p>
        </w:tc>
        <w:tc>
          <w:tcPr>
            <w:tcW w:w="2733" w:type="dxa"/>
            <w:noWrap w:val="0"/>
            <w:vAlign w:val="center"/>
          </w:tcPr>
          <w:p>
            <w:pPr>
              <w:spacing w:line="400" w:lineRule="exact"/>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Cs/>
                <w:sz w:val="24"/>
                <w:szCs w:val="24"/>
                <w:highlight w:val="none"/>
              </w:rPr>
              <w:t>根据对项目的理解及自身管理经验，提出项目完成的服务承诺</w:t>
            </w:r>
            <w:r>
              <w:rPr>
                <w:rFonts w:hint="eastAsia" w:ascii="仿宋_GB2312" w:hAnsi="仿宋_GB2312" w:eastAsia="仿宋_GB2312" w:cs="仿宋_GB2312"/>
                <w:bCs/>
                <w:sz w:val="24"/>
                <w:szCs w:val="24"/>
                <w:highlight w:val="none"/>
                <w:lang w:eastAsia="zh-CN"/>
              </w:rPr>
              <w:t>与</w:t>
            </w:r>
            <w:r>
              <w:rPr>
                <w:rFonts w:hint="eastAsia" w:ascii="仿宋_GB2312" w:hAnsi="仿宋_GB2312" w:eastAsia="仿宋_GB2312" w:cs="仿宋_GB2312"/>
                <w:bCs/>
                <w:sz w:val="24"/>
                <w:szCs w:val="24"/>
                <w:highlight w:val="none"/>
              </w:rPr>
              <w:t>承诺满足招标文件要求，保证措施合理且有针对性，有具体的违约责任承诺。</w:t>
            </w:r>
          </w:p>
        </w:tc>
        <w:tc>
          <w:tcPr>
            <w:tcW w:w="4515" w:type="dxa"/>
            <w:noWrap w:val="0"/>
            <w:vAlign w:val="center"/>
          </w:tcPr>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提供《服务承诺函》</w:t>
            </w:r>
            <w:r>
              <w:rPr>
                <w:rFonts w:hint="eastAsia" w:ascii="仿宋_GB2312" w:hAnsi="仿宋_GB2312" w:eastAsia="仿宋_GB2312" w:cs="仿宋_GB2312"/>
                <w:bCs/>
                <w:sz w:val="24"/>
                <w:szCs w:val="24"/>
                <w:highlight w:val="none"/>
                <w:lang w:eastAsia="zh-CN"/>
              </w:rPr>
              <w:t>和</w:t>
            </w:r>
            <w:r>
              <w:rPr>
                <w:rFonts w:hint="eastAsia" w:ascii="仿宋_GB2312" w:hAnsi="仿宋_GB2312" w:eastAsia="仿宋_GB2312" w:cs="仿宋_GB2312"/>
                <w:bCs/>
                <w:sz w:val="24"/>
                <w:szCs w:val="24"/>
                <w:highlight w:val="none"/>
              </w:rPr>
              <w:t>《违约承诺函》得5分，</w:t>
            </w:r>
            <w:r>
              <w:rPr>
                <w:rFonts w:hint="eastAsia" w:ascii="仿宋_GB2312" w:hAnsi="仿宋_GB2312" w:eastAsia="仿宋_GB2312" w:cs="仿宋_GB2312"/>
                <w:bCs/>
                <w:sz w:val="24"/>
                <w:szCs w:val="24"/>
                <w:highlight w:val="none"/>
                <w:lang w:eastAsia="zh-CN"/>
              </w:rPr>
              <w:t>提供一项只得</w:t>
            </w:r>
            <w:r>
              <w:rPr>
                <w:rFonts w:hint="eastAsia" w:ascii="仿宋_GB2312" w:hAnsi="仿宋_GB2312" w:eastAsia="仿宋_GB2312" w:cs="仿宋_GB2312"/>
                <w:bCs/>
                <w:sz w:val="24"/>
                <w:szCs w:val="24"/>
                <w:highlight w:val="none"/>
                <w:lang w:val="en-US" w:eastAsia="zh-CN"/>
              </w:rPr>
              <w:t>2.5分，</w:t>
            </w:r>
            <w:r>
              <w:rPr>
                <w:rFonts w:hint="eastAsia" w:ascii="仿宋_GB2312" w:hAnsi="仿宋_GB2312" w:eastAsia="仿宋_GB2312" w:cs="仿宋_GB2312"/>
                <w:bCs/>
                <w:sz w:val="24"/>
                <w:szCs w:val="24"/>
                <w:highlight w:val="none"/>
              </w:rPr>
              <w:t>未提供</w:t>
            </w:r>
            <w:r>
              <w:rPr>
                <w:rFonts w:hint="eastAsia" w:ascii="仿宋_GB2312" w:hAnsi="仿宋_GB2312" w:eastAsia="仿宋_GB2312" w:cs="仿宋_GB2312"/>
                <w:bCs/>
                <w:sz w:val="24"/>
                <w:szCs w:val="24"/>
                <w:highlight w:val="none"/>
                <w:lang w:eastAsia="zh-CN"/>
              </w:rPr>
              <w:t>或者内容不符</w:t>
            </w:r>
            <w:r>
              <w:rPr>
                <w:rFonts w:hint="eastAsia" w:ascii="仿宋_GB2312" w:hAnsi="仿宋_GB2312" w:eastAsia="仿宋_GB2312" w:cs="仿宋_GB2312"/>
                <w:bCs/>
                <w:sz w:val="24"/>
                <w:szCs w:val="24"/>
                <w:highlight w:val="none"/>
              </w:rPr>
              <w:t>不得分</w:t>
            </w:r>
            <w:r>
              <w:rPr>
                <w:rFonts w:hint="eastAsia" w:ascii="仿宋_GB2312" w:hAnsi="仿宋_GB2312" w:eastAsia="仿宋_GB2312" w:cs="仿宋_GB2312"/>
                <w:bCs/>
                <w:sz w:val="24"/>
                <w:szCs w:val="24"/>
                <w:highlight w:val="none"/>
                <w:lang w:eastAsia="zh-CN"/>
              </w:rPr>
              <w:t>，格式自拟</w:t>
            </w:r>
            <w:r>
              <w:rPr>
                <w:rFonts w:hint="eastAsia" w:ascii="仿宋_GB2312" w:hAnsi="仿宋_GB2312" w:eastAsia="仿宋_GB2312" w:cs="仿宋_GB2312"/>
                <w:bCs/>
                <w:sz w:val="24"/>
                <w:szCs w:val="24"/>
                <w:highlight w:val="none"/>
              </w:rPr>
              <w:t>。</w:t>
            </w:r>
          </w:p>
          <w:p>
            <w:pPr>
              <w:spacing w:line="400" w:lineRule="exact"/>
              <w:jc w:val="left"/>
              <w:rPr>
                <w:rFonts w:hint="eastAsia" w:ascii="仿宋_GB2312" w:hAnsi="仿宋_GB2312" w:eastAsia="仿宋_GB2312" w:cs="仿宋_GB2312"/>
                <w:bCs/>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b w:val="0"/>
          <w:bCs/>
          <w:color w:val="auto"/>
          <w:sz w:val="24"/>
          <w:highlight w:val="none"/>
        </w:rPr>
      </w:pPr>
      <w:r>
        <w:rPr>
          <w:rFonts w:hint="eastAsia" w:ascii="宋体" w:hAnsi="宋体" w:eastAsia="宋体"/>
          <w:b w:val="0"/>
          <w:bCs/>
          <w:color w:val="auto"/>
          <w:sz w:val="24"/>
          <w:highlight w:val="none"/>
          <w:lang w:eastAsia="zh-CN"/>
        </w:rPr>
        <w:t>注：</w:t>
      </w:r>
      <w:r>
        <w:rPr>
          <w:rFonts w:hint="eastAsia" w:ascii="宋体" w:hAnsi="宋体"/>
          <w:b w:val="0"/>
          <w:bCs/>
          <w:color w:val="auto"/>
          <w:sz w:val="24"/>
          <w:highlight w:val="none"/>
        </w:rPr>
        <w:t>不提供证明文件或提供的证明文件不合格者，不得分。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b w:val="0"/>
          <w:bCs/>
          <w:color w:val="auto"/>
          <w:sz w:val="24"/>
          <w:highlight w:val="none"/>
          <w:lang w:val="en-US" w:eastAsia="zh-CN"/>
        </w:rPr>
      </w:pP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技术能力</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eastAsia="仿宋_GB2312"/>
          <w:color w:val="auto"/>
          <w:sz w:val="32"/>
          <w:szCs w:val="32"/>
          <w:highlight w:val="none"/>
          <w:lang w:val="en-US" w:eastAsia="zh-CN"/>
        </w:rPr>
      </w:pP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095"/>
        <w:gridCol w:w="2790"/>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404"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4347"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7"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技术</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109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w:t>
            </w: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2790" w:type="dxa"/>
            <w:noWrap w:val="0"/>
            <w:vAlign w:val="center"/>
          </w:tcPr>
          <w:p>
            <w:pPr>
              <w:spacing w:line="400" w:lineRule="exact"/>
              <w:jc w:val="left"/>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考察投标人对本项目策划的实施方案，</w:t>
            </w:r>
            <w:r>
              <w:rPr>
                <w:rFonts w:hint="eastAsia" w:ascii="仿宋_GB2312" w:hAnsi="仿宋_GB2312" w:eastAsia="仿宋_GB2312" w:cs="仿宋_GB2312"/>
                <w:bCs/>
                <w:sz w:val="24"/>
                <w:szCs w:val="24"/>
                <w:highlight w:val="none"/>
                <w:lang w:val="en-US" w:eastAsia="zh-CN"/>
              </w:rPr>
              <w:t>方案</w:t>
            </w:r>
            <w:r>
              <w:rPr>
                <w:rFonts w:hint="eastAsia" w:ascii="仿宋_GB2312" w:hAnsi="仿宋_GB2312" w:eastAsia="仿宋_GB2312" w:cs="仿宋_GB2312"/>
                <w:bCs/>
                <w:sz w:val="24"/>
                <w:szCs w:val="24"/>
                <w:highlight w:val="none"/>
              </w:rPr>
              <w:t>内容包括</w:t>
            </w:r>
            <w:r>
              <w:rPr>
                <w:rFonts w:hint="eastAsia" w:ascii="仿宋_GB2312" w:hAnsi="仿宋_GB2312" w:eastAsia="仿宋_GB2312" w:cs="仿宋_GB2312"/>
                <w:bCs/>
                <w:sz w:val="24"/>
                <w:szCs w:val="24"/>
                <w:highlight w:val="none"/>
                <w:lang w:val="en-US" w:eastAsia="zh-CN"/>
              </w:rPr>
              <w:t>但不限于</w:t>
            </w:r>
            <w:r>
              <w:rPr>
                <w:rFonts w:hint="eastAsia" w:ascii="仿宋_GB2312" w:hAnsi="仿宋_GB2312" w:eastAsia="仿宋_GB2312" w:cs="仿宋_GB2312"/>
                <w:bCs/>
                <w:sz w:val="24"/>
                <w:szCs w:val="24"/>
                <w:highlight w:val="none"/>
                <w:lang w:eastAsia="zh-CN"/>
              </w:rPr>
              <w:t>：</w:t>
            </w:r>
          </w:p>
          <w:p>
            <w:pPr>
              <w:spacing w:line="400" w:lineRule="exact"/>
              <w:jc w:val="left"/>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val="en-US" w:eastAsia="zh-CN"/>
              </w:rPr>
              <w:t>1.赛事赛程</w:t>
            </w:r>
            <w:r>
              <w:rPr>
                <w:rFonts w:hint="eastAsia" w:ascii="仿宋_GB2312" w:hAnsi="仿宋_GB2312" w:eastAsia="仿宋_GB2312" w:cs="仿宋_GB2312"/>
                <w:bCs/>
                <w:sz w:val="24"/>
                <w:szCs w:val="24"/>
                <w:highlight w:val="none"/>
              </w:rPr>
              <w:t>活动策划</w:t>
            </w:r>
            <w:r>
              <w:rPr>
                <w:rFonts w:hint="eastAsia" w:ascii="仿宋_GB2312" w:hAnsi="仿宋_GB2312" w:eastAsia="仿宋_GB2312" w:cs="仿宋_GB2312"/>
                <w:bCs/>
                <w:sz w:val="24"/>
                <w:szCs w:val="24"/>
                <w:highlight w:val="none"/>
                <w:lang w:eastAsia="zh-CN"/>
              </w:rPr>
              <w:t>；</w:t>
            </w:r>
          </w:p>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2.活动预计完成目标；</w:t>
            </w:r>
          </w:p>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3.拟邀导师及专家阵容；</w:t>
            </w:r>
          </w:p>
          <w:p>
            <w:pPr>
              <w:spacing w:line="400" w:lineRule="exact"/>
              <w:jc w:val="left"/>
              <w:rPr>
                <w:rFonts w:hint="default" w:ascii="仿宋_GB2312" w:hAnsi="仿宋_GB2312" w:eastAsia="仿宋_GB2312" w:cs="仿宋_GB2312"/>
                <w:bCs/>
                <w:sz w:val="24"/>
                <w:szCs w:val="24"/>
                <w:highlight w:val="none"/>
                <w:lang w:val="en-US"/>
              </w:rPr>
            </w:pPr>
            <w:r>
              <w:rPr>
                <w:rFonts w:hint="eastAsia" w:ascii="仿宋_GB2312" w:hAnsi="仿宋_GB2312" w:eastAsia="仿宋_GB2312" w:cs="仿宋_GB2312"/>
                <w:bCs/>
                <w:sz w:val="24"/>
                <w:szCs w:val="24"/>
                <w:highlight w:val="none"/>
                <w:lang w:val="en-US" w:eastAsia="zh-CN"/>
              </w:rPr>
              <w:t>4.拟制作的创新性考核题与展演创意计划；</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p>
        </w:tc>
        <w:tc>
          <w:tcPr>
            <w:tcW w:w="4347" w:type="dxa"/>
            <w:noWrap w:val="0"/>
            <w:vAlign w:val="center"/>
          </w:tcPr>
          <w:p>
            <w:pPr>
              <w:spacing w:line="400" w:lineRule="exact"/>
              <w:jc w:val="left"/>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rPr>
              <w:t>评分标准：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1.满足内容任意一项内容得3分，最高得12分； </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2.在此基础上，评审委员根据各供应商的具体响应内容按照量化的评审因素指标进一步评审：</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（1）实施方案内容全面。</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（2）实施方案内容具体。</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（3）实施方案内容科学合理。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（4）实施方案内容针对性强。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（5）实施方案内容可操作性强。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满足以上五项要求的评价为优，得 8分。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满足以上四项要求的评价为良，得 6分。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满足以上三项要求的评价为中，得 2分。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7"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lang w:val="en-US" w:eastAsia="zh-CN"/>
              </w:rPr>
            </w:pPr>
          </w:p>
        </w:tc>
        <w:tc>
          <w:tcPr>
            <w:tcW w:w="109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项目重点难点分析、应对措施及相关的合理化建议（15分）</w:t>
            </w:r>
          </w:p>
        </w:tc>
        <w:tc>
          <w:tcPr>
            <w:tcW w:w="2790"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投标人应根据采购文件服务需求提供项目重点难点分析、应对措施及相关的合理化建议内容包括但不限于：</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1.重点难点分析；</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2.应对措施；</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3.合理化建议。</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p>
        </w:tc>
        <w:tc>
          <w:tcPr>
            <w:tcW w:w="4347"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评分标准：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1.满足内容任意一项内容得3分，最高得9分。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2.在此基础上，</w:t>
            </w:r>
            <w:r>
              <w:rPr>
                <w:rFonts w:hint="eastAsia" w:ascii="仿宋_GB2312" w:hAnsi="仿宋_GB2312" w:eastAsia="仿宋_GB2312" w:cs="仿宋_GB2312"/>
                <w:bCs/>
                <w:sz w:val="24"/>
                <w:szCs w:val="24"/>
                <w:highlight w:val="none"/>
              </w:rPr>
              <w:t>评审委员根据各供应商的具体响应内容按照量化的评审因素指标进一步评审</w:t>
            </w:r>
            <w:r>
              <w:rPr>
                <w:rFonts w:hint="eastAsia" w:ascii="仿宋_GB2312" w:hAnsi="仿宋_GB2312" w:eastAsia="仿宋_GB2312" w:cs="仿宋_GB2312"/>
                <w:b w:val="0"/>
                <w:bCs/>
                <w:color w:val="auto"/>
                <w:sz w:val="24"/>
                <w:szCs w:val="24"/>
                <w:highlight w:val="none"/>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（1）提供内容全面。</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（2）提供内容具体。</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（3）提供内容科学合理。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（4）提供内容针对性强。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（5）提供内容可操作性强。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满足以上五项要求的评价为优，得 6分。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满足以上四项要求的评价为良，得 4分。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满足以上三项要求的评价为中，得 2分。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lang w:val="en-US" w:eastAsia="zh-CN"/>
              </w:rPr>
            </w:pPr>
          </w:p>
        </w:tc>
        <w:tc>
          <w:tcPr>
            <w:tcW w:w="109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质量保障措施及方案</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15分</w:t>
            </w:r>
            <w:r>
              <w:rPr>
                <w:rFonts w:hint="eastAsia" w:ascii="仿宋_GB2312" w:hAnsi="仿宋_GB2312" w:eastAsia="仿宋_GB2312" w:cs="仿宋_GB2312"/>
                <w:b w:val="0"/>
                <w:bCs/>
                <w:color w:val="auto"/>
                <w:sz w:val="24"/>
                <w:szCs w:val="24"/>
                <w:highlight w:val="none"/>
                <w:lang w:eastAsia="zh-CN"/>
              </w:rPr>
              <w:t>）</w:t>
            </w:r>
          </w:p>
        </w:tc>
        <w:tc>
          <w:tcPr>
            <w:tcW w:w="2790"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投标人需针对本项目提供质量（完成时间、安全）保障措施及方案，方案内容包括但不限于：</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1.给出分阶段项目时间安排、工作进度；具备详细的完成时间保障措施；</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2.详细阐述项目人员管理措施；</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3.详细阐述项目质量管理措施；</w:t>
            </w:r>
          </w:p>
          <w:p>
            <w:pPr>
              <w:keepNext w:val="0"/>
              <w:keepLines w:val="0"/>
              <w:pageBreakBefore w:val="0"/>
              <w:kinsoku/>
              <w:wordWrap/>
              <w:overflowPunct/>
              <w:topLinePunct w:val="0"/>
              <w:autoSpaceDE/>
              <w:autoSpaceDN/>
              <w:bidi w:val="0"/>
              <w:spacing w:line="240" w:lineRule="auto"/>
              <w:jc w:val="left"/>
              <w:textAlignment w:val="auto"/>
              <w:rPr>
                <w:rFonts w:hint="default" w:ascii="仿宋_GB2312" w:hAnsi="仿宋_GB2312" w:eastAsia="仿宋_GB2312" w:cs="仿宋_GB2312"/>
                <w:b w:val="0"/>
                <w:bCs/>
                <w:color w:val="auto"/>
                <w:sz w:val="24"/>
                <w:szCs w:val="24"/>
                <w:highlight w:val="none"/>
                <w:lang w:val="en-US" w:eastAsia="zh-CN"/>
              </w:rPr>
            </w:pPr>
          </w:p>
        </w:tc>
        <w:tc>
          <w:tcPr>
            <w:tcW w:w="4347"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评分标准：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1.满足内容以上任意一项内容得3分，最高得9分。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2.在此基础上，由评标委员会对实施方案进一步评审：</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（1）提供内容全面。</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（2）提供内容具体。</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（3）提供内容科学合理。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（4）提供内容针对性强。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（5）提供内容可操作性强。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满足以上五项要求的评价为优，得6分。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满足以上四项要求的评价为良，得4分。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满足以上三项要求的评价为中，得2分。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上述情况之外的，评差不得分。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p>
    <w:p>
      <w:pPr>
        <w:rPr>
          <w:rFonts w:hint="eastAsia" w:ascii="楷体" w:hAnsi="楷体" w:eastAsia="楷体" w:cs="楷体"/>
          <w:color w:val="000000"/>
          <w:sz w:val="32"/>
          <w:szCs w:val="32"/>
          <w:highlight w:val="none"/>
          <w:lang w:val="en-US" w:eastAsia="zh-CN"/>
        </w:rPr>
      </w:pPr>
      <w:r>
        <w:rPr>
          <w:rFonts w:hint="eastAsia"/>
          <w:lang w:val="en-US" w:eastAsia="zh-CN"/>
        </w:rPr>
        <w:t xml:space="preserve">    </w:t>
      </w:r>
      <w:r>
        <w:rPr>
          <w:rFonts w:hint="eastAsia" w:ascii="楷体" w:hAnsi="楷体" w:eastAsia="楷体" w:cs="楷体"/>
          <w:color w:val="000000"/>
          <w:sz w:val="32"/>
          <w:szCs w:val="32"/>
          <w:highlight w:val="none"/>
          <w:lang w:val="en-US" w:eastAsia="zh-CN"/>
        </w:rPr>
        <w:t>（四）供应商提供资料清单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Times New Roman"/>
          <w:color w:val="auto"/>
          <w:sz w:val="32"/>
          <w:highlight w:val="none"/>
          <w:lang w:val="en-US" w:eastAsia="zh-CN"/>
        </w:rPr>
        <w:t>1.</w:t>
      </w:r>
      <w:r>
        <w:rPr>
          <w:rFonts w:hint="eastAsia" w:ascii="仿宋_GB2312" w:hAnsi="仿宋" w:eastAsia="仿宋_GB2312" w:cs="仿宋"/>
          <w:sz w:val="32"/>
          <w:szCs w:val="32"/>
          <w:lang w:val="en-US" w:eastAsia="zh-CN"/>
        </w:rPr>
        <w:t>营业执照、事业法人证书、社会团体法人登记证书（加盖公章）；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2.法定代表人身份证复印件（加盖公章）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3.项目报价清单（加盖公章）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4.评分规则所需资料（同类业绩证明、方案等）</w:t>
      </w:r>
    </w:p>
    <w:p>
      <w:pPr>
        <w:pStyle w:val="3"/>
        <w:rPr>
          <w:rFonts w:hint="eastAsia" w:ascii="仿宋_GB2312" w:hAnsi="仿宋" w:eastAsia="仿宋_GB2312" w:cs="仿宋"/>
          <w:sz w:val="32"/>
          <w:szCs w:val="32"/>
          <w:lang w:val="en-US" w:eastAsia="zh-CN"/>
        </w:rPr>
      </w:pPr>
    </w:p>
    <w:p>
      <w:pPr>
        <w:pStyle w:val="3"/>
        <w:rPr>
          <w:rFonts w:hint="eastAsia" w:ascii="仿宋_GB2312" w:hAnsi="仿宋" w:eastAsia="仿宋_GB2312" w:cs="仿宋"/>
          <w:sz w:val="32"/>
          <w:szCs w:val="32"/>
          <w:lang w:val="en-US" w:eastAsia="zh-CN"/>
        </w:rPr>
      </w:pPr>
    </w:p>
    <w:p>
      <w:pPr>
        <w:pStyle w:val="3"/>
        <w:rPr>
          <w:rFonts w:hint="eastAsia" w:ascii="仿宋_GB2312" w:hAnsi="仿宋" w:eastAsia="仿宋_GB2312"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注：供应商需邮寄7份密封纸质版投标资料至本单位</w:t>
      </w:r>
    </w:p>
    <w:p>
      <w:pPr>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地址：</w:t>
      </w:r>
      <w:r>
        <w:rPr>
          <w:rFonts w:hint="eastAsia" w:ascii="仿宋_GB2312" w:hAnsi="仿宋" w:eastAsia="仿宋_GB2312" w:cs="仿宋"/>
          <w:sz w:val="32"/>
          <w:szCs w:val="32"/>
          <w:lang w:val="en-US" w:eastAsia="zh-CN"/>
        </w:rPr>
        <w:t>深圳市龙华区维雅德大厦富康行政办公区</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电话：</w:t>
      </w:r>
      <w:bookmarkStart w:id="0" w:name="_GoBack"/>
      <w:bookmarkEnd w:id="0"/>
      <w:r>
        <w:rPr>
          <w:rFonts w:hint="eastAsia" w:ascii="仿宋_GB2312" w:hAnsi="仿宋_GB2312" w:eastAsia="仿宋_GB2312" w:cs="仿宋_GB2312"/>
          <w:color w:val="auto"/>
          <w:sz w:val="32"/>
          <w:szCs w:val="32"/>
          <w:highlight w:val="none"/>
          <w:lang w:val="en-US" w:eastAsia="zh-CN"/>
        </w:rPr>
        <w:t>0755-23338140</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收件人：吴工</w:t>
      </w:r>
    </w:p>
    <w:p>
      <w:pPr>
        <w:pStyle w:val="3"/>
        <w:ind w:left="0" w:leftChars="0" w:firstLine="0" w:firstLineChars="0"/>
        <w:rPr>
          <w:rFonts w:hint="default" w:ascii="仿宋_GB2312" w:hAnsi="仿宋" w:eastAsia="仿宋_GB2312" w:cs="仿宋"/>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32EE"/>
    <w:multiLevelType w:val="singleLevel"/>
    <w:tmpl w:val="D5CF32EE"/>
    <w:lvl w:ilvl="0" w:tentative="0">
      <w:start w:val="4"/>
      <w:numFmt w:val="chineseCounting"/>
      <w:suff w:val="nothing"/>
      <w:lvlText w:val="%1、"/>
      <w:lvlJc w:val="left"/>
      <w:rPr>
        <w:rFonts w:hint="eastAsia"/>
      </w:rPr>
    </w:lvl>
  </w:abstractNum>
  <w:abstractNum w:abstractNumId="1">
    <w:nsid w:val="023B7E9E"/>
    <w:multiLevelType w:val="singleLevel"/>
    <w:tmpl w:val="023B7E9E"/>
    <w:lvl w:ilvl="0" w:tentative="0">
      <w:start w:val="2"/>
      <w:numFmt w:val="chineseCounting"/>
      <w:suff w:val="nothing"/>
      <w:lvlText w:val="（%1）"/>
      <w:lvlJc w:val="left"/>
      <w:rPr>
        <w:rFonts w:hint="eastAsia"/>
      </w:rPr>
    </w:lvl>
  </w:abstractNum>
  <w:abstractNum w:abstractNumId="2">
    <w:nsid w:val="5EF6273B"/>
    <w:multiLevelType w:val="singleLevel"/>
    <w:tmpl w:val="5EF6273B"/>
    <w:lvl w:ilvl="0" w:tentative="0">
      <w:start w:val="1"/>
      <w:numFmt w:val="chineseCounting"/>
      <w:suff w:val="nothing"/>
      <w:lvlText w:val="%1、"/>
      <w:lvlJc w:val="left"/>
      <w:rPr>
        <w:rFonts w:hint="eastAsia"/>
      </w:rPr>
    </w:lvl>
  </w:abstractNum>
  <w:abstractNum w:abstractNumId="3">
    <w:nsid w:val="64076333"/>
    <w:multiLevelType w:val="singleLevel"/>
    <w:tmpl w:val="64076333"/>
    <w:lvl w:ilvl="0" w:tentative="0">
      <w:start w:val="2"/>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TE4YWMwMjkxODhmM2VjNjk2ZGQ1OTgyNTFmYTcifQ=="/>
  </w:docVars>
  <w:rsids>
    <w:rsidRoot w:val="00000000"/>
    <w:rsid w:val="000A70F5"/>
    <w:rsid w:val="000F762B"/>
    <w:rsid w:val="0299365C"/>
    <w:rsid w:val="02A14404"/>
    <w:rsid w:val="02ED4ABC"/>
    <w:rsid w:val="037261DA"/>
    <w:rsid w:val="03BA7C4F"/>
    <w:rsid w:val="04F94B0A"/>
    <w:rsid w:val="04FF4024"/>
    <w:rsid w:val="05701B1B"/>
    <w:rsid w:val="06272FC8"/>
    <w:rsid w:val="07E6528B"/>
    <w:rsid w:val="082A6214"/>
    <w:rsid w:val="086E178C"/>
    <w:rsid w:val="0B1A5ABE"/>
    <w:rsid w:val="0D4A4E59"/>
    <w:rsid w:val="0E336732"/>
    <w:rsid w:val="0F385370"/>
    <w:rsid w:val="0F942AAF"/>
    <w:rsid w:val="10152737"/>
    <w:rsid w:val="10B75584"/>
    <w:rsid w:val="12274BF2"/>
    <w:rsid w:val="13662464"/>
    <w:rsid w:val="144942F4"/>
    <w:rsid w:val="1517333D"/>
    <w:rsid w:val="15DE511D"/>
    <w:rsid w:val="17115D70"/>
    <w:rsid w:val="180C63B2"/>
    <w:rsid w:val="18462EE2"/>
    <w:rsid w:val="1D23268B"/>
    <w:rsid w:val="1DEA08D0"/>
    <w:rsid w:val="1F012782"/>
    <w:rsid w:val="1FA45CB2"/>
    <w:rsid w:val="1FFB7A1A"/>
    <w:rsid w:val="22230EE0"/>
    <w:rsid w:val="235D47F0"/>
    <w:rsid w:val="236849F0"/>
    <w:rsid w:val="238B4897"/>
    <w:rsid w:val="264E265F"/>
    <w:rsid w:val="2704160A"/>
    <w:rsid w:val="28EC0F86"/>
    <w:rsid w:val="29065AE1"/>
    <w:rsid w:val="2AAD1FBB"/>
    <w:rsid w:val="2B3A4917"/>
    <w:rsid w:val="2B49205D"/>
    <w:rsid w:val="2BC813F8"/>
    <w:rsid w:val="2BCA72ED"/>
    <w:rsid w:val="2DE10DF9"/>
    <w:rsid w:val="2E5F739F"/>
    <w:rsid w:val="2ED950C8"/>
    <w:rsid w:val="306A153F"/>
    <w:rsid w:val="321111A9"/>
    <w:rsid w:val="3245497B"/>
    <w:rsid w:val="32D24F5E"/>
    <w:rsid w:val="34185F52"/>
    <w:rsid w:val="348113C1"/>
    <w:rsid w:val="35A47850"/>
    <w:rsid w:val="35D92994"/>
    <w:rsid w:val="361735D6"/>
    <w:rsid w:val="37ED0DFC"/>
    <w:rsid w:val="389D7E6F"/>
    <w:rsid w:val="395170EE"/>
    <w:rsid w:val="395C4529"/>
    <w:rsid w:val="3C4115E4"/>
    <w:rsid w:val="3C6B36A0"/>
    <w:rsid w:val="3CC41D19"/>
    <w:rsid w:val="3D413CB5"/>
    <w:rsid w:val="3D6B2252"/>
    <w:rsid w:val="3DBD16A1"/>
    <w:rsid w:val="3E350BC9"/>
    <w:rsid w:val="3EA7797A"/>
    <w:rsid w:val="3F1F1C2A"/>
    <w:rsid w:val="3F743193"/>
    <w:rsid w:val="3FAA29DA"/>
    <w:rsid w:val="404A7B24"/>
    <w:rsid w:val="406412D2"/>
    <w:rsid w:val="408D7917"/>
    <w:rsid w:val="42126DD2"/>
    <w:rsid w:val="42DA2D11"/>
    <w:rsid w:val="43F459FD"/>
    <w:rsid w:val="441B263E"/>
    <w:rsid w:val="45A901E2"/>
    <w:rsid w:val="46190247"/>
    <w:rsid w:val="46E56473"/>
    <w:rsid w:val="47271AF0"/>
    <w:rsid w:val="47AC489C"/>
    <w:rsid w:val="4902618C"/>
    <w:rsid w:val="497175BD"/>
    <w:rsid w:val="4A274EC8"/>
    <w:rsid w:val="4C484939"/>
    <w:rsid w:val="4C5A74AA"/>
    <w:rsid w:val="4C8C268C"/>
    <w:rsid w:val="4CF107F4"/>
    <w:rsid w:val="4D5C222A"/>
    <w:rsid w:val="5118124A"/>
    <w:rsid w:val="548036DC"/>
    <w:rsid w:val="55AB2248"/>
    <w:rsid w:val="57097A1B"/>
    <w:rsid w:val="57A529EE"/>
    <w:rsid w:val="58AA5BB8"/>
    <w:rsid w:val="5AB61E7E"/>
    <w:rsid w:val="5AD70930"/>
    <w:rsid w:val="5B814F45"/>
    <w:rsid w:val="5BA21406"/>
    <w:rsid w:val="5BD30C4D"/>
    <w:rsid w:val="5C835040"/>
    <w:rsid w:val="5FAB74EB"/>
    <w:rsid w:val="607D789C"/>
    <w:rsid w:val="614A0BAC"/>
    <w:rsid w:val="617C5F6F"/>
    <w:rsid w:val="626369F4"/>
    <w:rsid w:val="638D15C2"/>
    <w:rsid w:val="64350004"/>
    <w:rsid w:val="65AE3591"/>
    <w:rsid w:val="65C632AB"/>
    <w:rsid w:val="6784413C"/>
    <w:rsid w:val="687D6787"/>
    <w:rsid w:val="68D5305B"/>
    <w:rsid w:val="68EB27CB"/>
    <w:rsid w:val="6AEB0FDA"/>
    <w:rsid w:val="6BDF2477"/>
    <w:rsid w:val="6CD20997"/>
    <w:rsid w:val="6CEE0D82"/>
    <w:rsid w:val="6DE24AAE"/>
    <w:rsid w:val="6EA474E2"/>
    <w:rsid w:val="6F7E3BBE"/>
    <w:rsid w:val="6F9D36EB"/>
    <w:rsid w:val="724D226A"/>
    <w:rsid w:val="725463B1"/>
    <w:rsid w:val="725B63EC"/>
    <w:rsid w:val="73783C1A"/>
    <w:rsid w:val="7465342F"/>
    <w:rsid w:val="74A2331F"/>
    <w:rsid w:val="780274A2"/>
    <w:rsid w:val="79FD5361"/>
    <w:rsid w:val="7AB13CAF"/>
    <w:rsid w:val="7D0F06E0"/>
    <w:rsid w:val="7D932127"/>
    <w:rsid w:val="7D9C4C8E"/>
    <w:rsid w:val="7DCB037F"/>
    <w:rsid w:val="7DE71854"/>
    <w:rsid w:val="7E59029A"/>
    <w:rsid w:val="7EBE183D"/>
    <w:rsid w:val="DCBF53B3"/>
    <w:rsid w:val="DFDB1F1D"/>
    <w:rsid w:val="F7FDC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kern w:val="2"/>
    </w:rPr>
  </w:style>
  <w:style w:type="paragraph" w:styleId="3">
    <w:name w:val="Block Text"/>
    <w:basedOn w:val="1"/>
    <w:qFormat/>
    <w:uiPriority w:val="0"/>
    <w:pPr>
      <w:tabs>
        <w:tab w:val="left" w:pos="426"/>
      </w:tabs>
      <w:spacing w:after="120"/>
      <w:ind w:left="1440" w:leftChars="700" w:right="1440" w:rightChars="7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unhideWhenUsed/>
    <w:qFormat/>
    <w:uiPriority w:val="39"/>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rPr>
      <w:sz w:val="22"/>
      <w:szCs w:val="22"/>
    </w:rPr>
  </w:style>
  <w:style w:type="character" w:styleId="13">
    <w:name w:val="Hyperlink"/>
    <w:basedOn w:val="10"/>
    <w:qFormat/>
    <w:uiPriority w:val="0"/>
    <w:rPr>
      <w:color w:val="000000"/>
      <w:u w:val="none"/>
    </w:rPr>
  </w:style>
  <w:style w:type="character" w:customStyle="1" w:styleId="14">
    <w:name w:val="hover48"/>
    <w:basedOn w:val="10"/>
    <w:qFormat/>
    <w:uiPriority w:val="0"/>
    <w:rPr>
      <w:color w:val="FFFFFF"/>
      <w:shd w:val="clear" w:color="auto" w:fill="1091DB"/>
    </w:rPr>
  </w:style>
  <w:style w:type="character" w:customStyle="1" w:styleId="15">
    <w:name w:val="hover50"/>
    <w:basedOn w:val="10"/>
    <w:qFormat/>
    <w:uiPriority w:val="0"/>
    <w:rPr>
      <w:sz w:val="21"/>
      <w:szCs w:val="21"/>
    </w:rPr>
  </w:style>
  <w:style w:type="character" w:customStyle="1" w:styleId="16">
    <w:name w:val="hover49"/>
    <w:basedOn w:val="10"/>
    <w:qFormat/>
    <w:uiPriority w:val="0"/>
    <w:rPr>
      <w:color w:val="FFFFFF"/>
      <w:shd w:val="clear" w:color="auto" w:fill="1091DB"/>
    </w:rPr>
  </w:style>
  <w:style w:type="character" w:customStyle="1" w:styleId="17">
    <w:name w:val="treeicon"/>
    <w:basedOn w:val="10"/>
    <w:qFormat/>
    <w:uiPriority w:val="0"/>
  </w:style>
  <w:style w:type="paragraph" w:styleId="18">
    <w:name w:val="List Paragraph"/>
    <w:basedOn w:val="1"/>
    <w:qFormat/>
    <w:uiPriority w:val="99"/>
    <w:pPr>
      <w:ind w:firstLine="420" w:firstLineChars="200"/>
    </w:pPr>
  </w:style>
  <w:style w:type="paragraph" w:customStyle="1" w:styleId="19">
    <w:name w:val="USE 1"/>
    <w:basedOn w:val="1"/>
    <w:qFormat/>
    <w:uiPriority w:val="0"/>
    <w:pPr>
      <w:spacing w:line="200" w:lineRule="atLeast"/>
      <w:jc w:val="left"/>
    </w:pPr>
    <w:rPr>
      <w:rFonts w:ascii="宋体" w:hAnsi="宋体"/>
      <w:b/>
      <w:sz w:val="24"/>
      <w:szCs w:val="28"/>
    </w:rPr>
  </w:style>
  <w:style w:type="character" w:customStyle="1" w:styleId="20">
    <w:name w:val="font31"/>
    <w:basedOn w:val="10"/>
    <w:qFormat/>
    <w:uiPriority w:val="0"/>
    <w:rPr>
      <w:rFonts w:hint="eastAsia" w:ascii="微软雅黑" w:hAnsi="微软雅黑" w:eastAsia="微软雅黑" w:cs="微软雅黑"/>
      <w:color w:val="000000"/>
      <w:sz w:val="18"/>
      <w:szCs w:val="18"/>
      <w:u w:val="none"/>
    </w:rPr>
  </w:style>
  <w:style w:type="character" w:customStyle="1" w:styleId="21">
    <w:name w:val="font21"/>
    <w:basedOn w:val="10"/>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4459</Words>
  <Characters>4647</Characters>
  <Lines>0</Lines>
  <Paragraphs>0</Paragraphs>
  <TotalTime>24</TotalTime>
  <ScaleCrop>false</ScaleCrop>
  <LinksUpToDate>false</LinksUpToDate>
  <CharactersWithSpaces>4663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2021-06-11T00:59:00Z</dcterms:created>
  <dc:creator>006</dc:creator>
  <cp:lastModifiedBy>lxy</cp:lastModifiedBy>
  <cp:lastPrinted>2024-07-03T23:49:00Z</cp:lastPrinted>
  <dcterms:modified xsi:type="dcterms:W3CDTF">2024-07-04T17:25:56Z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B5D55095B73E1E7C431185664F164B4F</vt:lpwstr>
  </property>
</Properties>
</file>