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560" w:lineRule="exact"/>
        <w:rPr>
          <w:rFonts w:hint="eastAsia" w:ascii="方正小标宋简体" w:eastAsia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Calibri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第八届龙华区创新创业大赛（携手三一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·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智造远航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悬赏挑战赛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）实施方案</w:t>
      </w:r>
    </w:p>
    <w:p>
      <w:pPr>
        <w:rPr>
          <w:rFonts w:hint="eastAsia"/>
        </w:rPr>
      </w:pPr>
    </w:p>
    <w:p>
      <w:pPr>
        <w:pStyle w:val="12"/>
        <w:numPr>
          <w:ilvl w:val="0"/>
          <w:numId w:val="1"/>
        </w:numPr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赛事介绍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第八届龙华区创新创业大赛暨“携手三一·智造远航”悬赏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挑战赛（以下简称“悬赏挑战赛”）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，将围绕深圳市20+8产业集群方向，邀请深圳市企业集聚、粤港澳大湾区高等院校、科研机构、基金公司、创新载体等共同参与，解决企业痛点、难点，促进科技成果转化。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二、组织机构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指导单位：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龙华区科技创新局</w:t>
      </w:r>
    </w:p>
    <w:p>
      <w:pPr>
        <w:pStyle w:val="2"/>
        <w:spacing w:line="560" w:lineRule="exact"/>
        <w:ind w:left="0" w:leftChars="0"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三一集团深圳公司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深圳市三一科技有限公司</w:t>
      </w:r>
    </w:p>
    <w:p>
      <w:pPr>
        <w:spacing w:line="560" w:lineRule="exact"/>
        <w:ind w:left="2244" w:leftChars="304" w:hanging="1606" w:hangingChars="5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三一众创、三一云都产业园、三一魔豆创新中心（云都）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三、参赛条件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（一）参赛限项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历届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龙华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区创新创业大赛决赛一二三等奖的选手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不可参加此届龙华区双创赛；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历届中国深圳创新创业大赛总决赛及2019-202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年深创赛行业决赛一二三等奖的企业和团队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选手不选送参加中国深圳创新创业大赛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历届中国创新创业大赛（以下简称“国赛”）行业总决赛一二三等奖的企业不选送参加国赛。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（二）参赛条件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1.企业具有创新能力和高成长潜力，主要从事高新技术产品研发、制造、生产及服务等方面业务，拥有知识产权且无产权纠纷；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2.在深圳或深汕特别合作区注册企业；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3.企业经营规范、社会信誉良好、无不良记录；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4.未列入科研诚信异常名录。</w:t>
      </w:r>
    </w:p>
    <w:p>
      <w:pPr>
        <w:pStyle w:val="2"/>
        <w:spacing w:line="560" w:lineRule="exact"/>
        <w:ind w:left="0" w:leftChars="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（三）参赛规定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1.同一参赛选手或同一项目不得在各预选赛重复报名；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2.大赛组委会制订大赛《报名须知》，参赛选手必须严格遵守承诺。如出现以下情形的，视为自动放弃深创赛一切权益（包括赛事奖金、荣誉、创业资助及其他政府支持）：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（1）参赛项目不属于高端装备制造、新材料、新能源、新能源汽车、节能环保、新一代信息技术、生物医药等七个行业的；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（2）参赛企业无知识产权；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（3）参赛项目的产品、技术及相关专利不归属参赛队伍，有产权纠纷，所提供参赛资料作假的；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（4）参赛企业是各预选赛承办机构的投资企业或被投企业的；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（5）参加深创赛所有比赛及国赛时，所有入围企业逾期未到场签到或未按要求准备好相关参赛资料的；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（6）获奖选手未按有关要求提交领奖材料或未按时提交有关材料的。</w:t>
      </w:r>
    </w:p>
    <w:p>
      <w:pPr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</w:t>
      </w:r>
      <w:r>
        <w:rPr>
          <w:rFonts w:hint="eastAsia" w:ascii="黑体" w:eastAsia="黑体"/>
          <w:sz w:val="32"/>
          <w:szCs w:val="32"/>
          <w:lang w:eastAsia="zh-CN"/>
        </w:rPr>
        <w:t>悬赏挑战赛</w:t>
      </w:r>
      <w:r>
        <w:rPr>
          <w:rFonts w:hint="eastAsia" w:ascii="黑体" w:eastAsia="黑体"/>
          <w:sz w:val="32"/>
          <w:szCs w:val="32"/>
        </w:rPr>
        <w:t>活动安排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阶段包含报名、赛前培训、正式比赛、颁奖仪式、行业对接、赛后辅导、成果交流七个阶段。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悬赏挑战赛</w:t>
      </w:r>
      <w:r>
        <w:rPr>
          <w:rFonts w:hint="eastAsia" w:ascii="楷体_GB2312" w:hAnsi="楷体_GB2312" w:eastAsia="楷体_GB2312" w:cs="楷体_GB2312"/>
          <w:sz w:val="32"/>
          <w:szCs w:val="32"/>
        </w:rPr>
        <w:t>报名（6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-7</w:t>
      </w:r>
      <w:r>
        <w:rPr>
          <w:rFonts w:hint="eastAsia" w:ascii="楷体_GB2312" w:hAnsi="楷体_GB2312" w:eastAsia="楷体_GB2312" w:cs="楷体_GB2312"/>
          <w:sz w:val="32"/>
          <w:szCs w:val="32"/>
        </w:rPr>
        <w:t>月）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纳入大赛报名渠道。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（二）赛前培训（7月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下旬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计划举办1场，面向全部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报名项目开展，主要内容为大赛（含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）赛制解读、BP撰写讲座、参赛注意事项等。</w:t>
      </w:r>
    </w:p>
    <w:p>
      <w:pPr>
        <w:pStyle w:val="2"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（三）正式比赛（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8月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包含线上初赛和线下决赛两个环节。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1.线上初赛：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初赛目的为剔除不符合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赛题的参赛项目，不设晋级比例，符合赛题的参赛项目全部晋级线下决赛。</w:t>
      </w:r>
    </w:p>
    <w:p>
      <w:pPr>
        <w:pStyle w:val="2"/>
        <w:spacing w:line="56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2.线下决赛：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各参赛项目比赛分为“现场路演”和“评委问答”两个环节。每参赛项目比赛时间15分钟（路演8分钟，评委问答7分钟），评审结束后现场公布最终得分；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线下决赛各组别前三名将获得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一、二、三等奖和推荐晋级深创赛名额（如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获奖项目数量最终大于深创赛晋级名额，则按各组别得分排名顺序推荐晋级）。</w:t>
      </w:r>
    </w:p>
    <w:p>
      <w:pPr>
        <w:pStyle w:val="2"/>
        <w:spacing w:line="600" w:lineRule="exact"/>
        <w:ind w:left="0" w:leftChars="0"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（四）颁奖仪式（8月）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计划举办一场创赛颁奖仪式。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（五）行业对接（8-10月）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在正式比赛结束后举办2场，具体包括但不限于1场项目供需对接会和1场灯塔工厂探访交流活动。行业对接旨在促进参赛项目/成果的产业化应用，计划以定向邀请和公开报名并审核相结合的形式组织，提升对接效率与专业度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（五）赛后辅导（9-11月）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举办2场，包括但不限于以“企业知识产权挖掘与保护”、“科技企业经营风险防范”及“钱从哪里来？——企业融资渠道浅析”、龙华区赋能企业发展等为主题开展讲座活动。赛后辅导面向大赛全部参赛项目开放，旨在帮助创业者提升公司经营治理及风险防范能力。</w:t>
      </w:r>
    </w:p>
    <w:p>
      <w:pPr>
        <w:pStyle w:val="2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（六）企业交流（10-12月）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计划举办1-2企业交流会，旨在跟踪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优胜项目产业化进展，企业成长情况，对接行业资源，总结宣传龙华区企业营商环境、大赛龙华预选赛组织特色、亮点与成果等。</w:t>
      </w:r>
    </w:p>
    <w:p>
      <w:pPr>
        <w:pStyle w:val="2"/>
        <w:spacing w:line="60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推荐晋级项目的后续参赛计划及晋级纳入大赛预选赛后续阶段比赛，依照大赛组委会统一安排开展。</w:t>
      </w:r>
    </w:p>
    <w:p>
      <w:pPr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</w:t>
      </w:r>
      <w:r>
        <w:rPr>
          <w:rFonts w:hint="eastAsia" w:ascii="黑体" w:eastAsia="黑体"/>
          <w:sz w:val="32"/>
          <w:szCs w:val="32"/>
          <w:lang w:eastAsia="zh-CN"/>
        </w:rPr>
        <w:t>悬赏挑战赛</w:t>
      </w:r>
      <w:r>
        <w:rPr>
          <w:rFonts w:hint="eastAsia" w:ascii="黑体" w:eastAsia="黑体"/>
          <w:sz w:val="32"/>
          <w:szCs w:val="32"/>
        </w:rPr>
        <w:t>流程</w:t>
      </w:r>
    </w:p>
    <w:tbl>
      <w:tblPr>
        <w:tblStyle w:val="7"/>
        <w:tblW w:w="54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807"/>
        <w:gridCol w:w="6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主要工作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启动、报名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悬赏挑战赛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启动、行业媒体宣传、赛事推介、征集项目、报名辅导。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下旬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赛前培训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组织1场赛前培训活动，主要内容为大赛（含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悬赏挑战赛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）赛制解读、BP撰写讲座、参赛注意事项等。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8月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正式比赛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组织举办线上初赛和线下决赛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13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8月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推送深创赛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根据晋级名额向深创赛推送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悬赏挑战赛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晋级选手。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13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颁奖仪式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举办一场创赛颁奖仪式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8-10月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行业对接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举办2场，具体包括1场项目供需对接会和1场灯塔工厂探访交流活动。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9-11月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赛后辅导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计划举办2-3场，包括但不限于以“企业知识产权挖掘与保护”、“科技企业经营风险防范”及“钱从哪里来？——企业融资渠道浅析”、龙华区赋能企业发展等为主题的讲座活动。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10-12月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企业交流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计划举办1-2企业交流。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813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赛后</w:t>
            </w:r>
          </w:p>
        </w:tc>
        <w:tc>
          <w:tcPr>
            <w:tcW w:w="91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创业服务</w:t>
            </w:r>
          </w:p>
        </w:tc>
        <w:tc>
          <w:tcPr>
            <w:tcW w:w="3269" w:type="pct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依托三一魔豆仓创新中心（云都）持续开展投资对接、扶持政策落实、落地跟踪等赛后创业服务。</w:t>
            </w:r>
          </w:p>
        </w:tc>
      </w:tr>
    </w:tbl>
    <w:p>
      <w:pPr>
        <w:pStyle w:val="2"/>
        <w:spacing w:line="560" w:lineRule="exact"/>
        <w:ind w:left="0"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备注：具体时间安排将根据国赛的统筹安排适当调整。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六、项目评审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遵循“公平、公正、公开”的评审原则，确保评审结果客观、真实。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（一）线上初赛：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视报名项目数量，每组不少于3位产业专家，组织若干评委小组开展线上初赛，主要评审参赛项目的报名资料是否符合赛题。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线上初赛每项目每位评委拥有1张通过票，每项目获得2张及以上通过票即进入线下决赛阶段。线上初赛剔除项目，工作人员将及时电话通知结果。如遇参赛项目对评选结果提出异议，则每项目现场安排5分钟线上会议，由参赛项目代表进行说明，评委参与复议并再次投票，再次投票结果为线上初赛最终结果。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（二）线下决赛：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视晋级线下决赛项目数量，每组不少于4位专家（至少涵盖产业界、学界及投资界中的两类），组织若干评委小组开展线下决赛。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评审维度及权重：</w:t>
      </w:r>
    </w:p>
    <w:tbl>
      <w:tblPr>
        <w:tblStyle w:val="7"/>
        <w:tblW w:w="8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评分项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技术和产品（25分）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商业模式及实施方案（20分）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行业及市场（25分）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团队（25分，团队组项目无落地深圳计划扣5分）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财务分析（5分）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总分</w:t>
            </w:r>
          </w:p>
        </w:tc>
        <w:tc>
          <w:tcPr>
            <w:tcW w:w="703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100分</w:t>
            </w:r>
          </w:p>
        </w:tc>
      </w:tr>
    </w:tbl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1．晋级深创赛，获得继续晋级机会，可申报市级创客创业资助项目。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奖项（可与深创赛奖金兼得）。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赛事合并设立奖项，设一、二等奖各1名、三等奖3名或三等奖1名、评委推荐奖2名（合计5名）推送半决赛；优胜奖3名。</w:t>
      </w:r>
    </w:p>
    <w:p>
      <w:pPr>
        <w:jc w:val="center"/>
      </w:pPr>
      <w:r>
        <w:drawing>
          <wp:inline distT="0" distB="0" distL="0" distR="0">
            <wp:extent cx="4069080" cy="2230120"/>
            <wp:effectExtent l="0" t="0" r="7620" b="0"/>
            <wp:docPr id="11019718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71887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7183" cy="223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一、二、三等奖获得：三一云都精装办公空间入驻权+入园即享优惠包+叠加资源包；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优胜奖获得：三一云都精装办公空间入驻权+入园即享优惠包+叠加资源包；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进入决赛企业均获得：叠加资源包。</w:t>
      </w:r>
    </w:p>
    <w:p>
      <w:pPr>
        <w:spacing w:line="560" w:lineRule="exact"/>
        <w:ind w:firstLine="642" w:firstLineChars="200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八、奖项内容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入驻三一云都精装办公空间（8个名额）：</w:t>
      </w:r>
    </w:p>
    <w:p>
      <w:pPr>
        <w:pStyle w:val="12"/>
        <w:numPr>
          <w:ilvl w:val="0"/>
          <w:numId w:val="2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一等奖（一名）：获得价值10万元精装办公空间入驻权；</w:t>
      </w:r>
    </w:p>
    <w:p>
      <w:pPr>
        <w:pStyle w:val="12"/>
        <w:numPr>
          <w:ilvl w:val="0"/>
          <w:numId w:val="2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二等奖（一名）：获得价值6万元精装办公空间入驻权；</w:t>
      </w:r>
    </w:p>
    <w:p>
      <w:pPr>
        <w:pStyle w:val="12"/>
        <w:numPr>
          <w:ilvl w:val="0"/>
          <w:numId w:val="2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三等奖（三名）：获得价值4万元精装办公空间入驻权；</w:t>
      </w:r>
    </w:p>
    <w:p>
      <w:pPr>
        <w:pStyle w:val="12"/>
        <w:numPr>
          <w:ilvl w:val="0"/>
          <w:numId w:val="2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优胜奖（三名）：获得价值3万元精装办公空间入驻权。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即享优惠包（8个名额，一二三等奖+优胜奖） ：</w:t>
      </w:r>
    </w:p>
    <w:p>
      <w:pPr>
        <w:pStyle w:val="12"/>
        <w:numPr>
          <w:ilvl w:val="0"/>
          <w:numId w:val="3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三一喜悦酒店公寓免费入住1个月；</w:t>
      </w:r>
    </w:p>
    <w:p>
      <w:pPr>
        <w:pStyle w:val="12"/>
        <w:numPr>
          <w:ilvl w:val="0"/>
          <w:numId w:val="3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white"/>
        </w:rPr>
        <w:t>免费停车6个月。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叠加资源包（进入决赛企业即享）</w:t>
      </w:r>
    </w:p>
    <w:p>
      <w:pPr>
        <w:pStyle w:val="12"/>
        <w:numPr>
          <w:ilvl w:val="0"/>
          <w:numId w:val="4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优先采购企业产品；</w:t>
      </w:r>
    </w:p>
    <w:p>
      <w:pPr>
        <w:pStyle w:val="12"/>
        <w:numPr>
          <w:ilvl w:val="0"/>
          <w:numId w:val="4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优先对接三一集团全球供销网络；</w:t>
      </w:r>
    </w:p>
    <w:p>
      <w:pPr>
        <w:pStyle w:val="12"/>
        <w:numPr>
          <w:ilvl w:val="0"/>
          <w:numId w:val="4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优先享受三一创投等产业基金投资机会；</w:t>
      </w:r>
    </w:p>
    <w:p>
      <w:pPr>
        <w:pStyle w:val="12"/>
        <w:numPr>
          <w:ilvl w:val="0"/>
          <w:numId w:val="4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有机会把项目产业化，进入三一集团供应链；</w:t>
      </w:r>
    </w:p>
    <w:p>
      <w:pPr>
        <w:pStyle w:val="12"/>
        <w:numPr>
          <w:ilvl w:val="0"/>
          <w:numId w:val="4"/>
        </w:numPr>
        <w:tabs>
          <w:tab w:val="left" w:pos="720"/>
        </w:tabs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优先对接行业资源，根据企业需求，定制化举办活动，包括不限于投融资对接、成果交流、技术论讨、企业参访等行业交流活动。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九、宣传推广</w:t>
      </w:r>
    </w:p>
    <w:p>
      <w:pPr>
        <w:pStyle w:val="2"/>
        <w:spacing w:line="560" w:lineRule="exact"/>
        <w:ind w:left="0" w:leftChars="0"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报名及赛前培训阶段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：在三一云都公众号、行业细分领域新媒体等渠道发布“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报名海报/推文”“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报名指引”及“报名截止倒计时海报/推文”等信息，全面宣传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相关信息；建立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悬赏挑战赛</w:t>
      </w:r>
      <w:r>
        <w:rPr>
          <w:rFonts w:hint="eastAsia" w:ascii="仿宋_GB2312" w:hAnsi="仿宋_GB2312" w:eastAsia="仿宋_GB2312" w:cs="仿宋_GB2312"/>
          <w:sz w:val="32"/>
          <w:szCs w:val="32"/>
        </w:rPr>
        <w:t>官方微信群，作为大赛服务后台、在线解答报名、参赛疑问、统一发布赛事消息。</w:t>
      </w:r>
    </w:p>
    <w:p>
      <w:pPr>
        <w:pStyle w:val="2"/>
        <w:spacing w:line="560" w:lineRule="exact"/>
        <w:ind w:left="0" w:leftChars="0"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比赛阶段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：线上在三一云都公众号、行业细分领域新媒体发布赛事新闻及参赛选手采访，全面展现选手比赛风采。线下在比赛现场通过物料搭建陈设、图文、视频等形式展示宣传大赛及参赛企业信息。特别搭建参赛项目展示区，供参赛项目现场展示交流。比赛阶段结束后在线上发布赛事回顾推文，展示大赛参赛项目风采。</w:t>
      </w:r>
    </w:p>
    <w:p>
      <w:pPr>
        <w:pStyle w:val="2"/>
        <w:spacing w:line="560" w:lineRule="exact"/>
        <w:ind w:left="0" w:leftChars="0"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行业对接、赛后辅导及对接交流阶段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：在三一云都公众号、行业细分领域及新媒体等全程报道相关活动。重点报道赛后对接成果，突出展示。宣传大赛龙华预选赛组织特色、亮点与成果。</w:t>
      </w:r>
    </w:p>
    <w:p>
      <w:pPr>
        <w:spacing w:line="560" w:lineRule="exact"/>
        <w:ind w:firstLine="64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D032A"/>
    <w:multiLevelType w:val="multilevel"/>
    <w:tmpl w:val="354D032A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ascii="黑体" w:hAnsi="Calibri" w:eastAsia="黑体" w:cs="Times New Roman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1">
    <w:nsid w:val="4496036B"/>
    <w:multiLevelType w:val="multilevel"/>
    <w:tmpl w:val="4496036B"/>
    <w:lvl w:ilvl="0" w:tentative="0">
      <w:start w:val="1"/>
      <w:numFmt w:val="bullet"/>
      <w:lvlText w:val="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2">
    <w:nsid w:val="4F2B594D"/>
    <w:multiLevelType w:val="multilevel"/>
    <w:tmpl w:val="4F2B594D"/>
    <w:lvl w:ilvl="0" w:tentative="0">
      <w:start w:val="1"/>
      <w:numFmt w:val="bullet"/>
      <w:lvlText w:val="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abstractNum w:abstractNumId="3">
    <w:nsid w:val="71E35299"/>
    <w:multiLevelType w:val="multilevel"/>
    <w:tmpl w:val="71E35299"/>
    <w:lvl w:ilvl="0" w:tentative="0">
      <w:start w:val="1"/>
      <w:numFmt w:val="bullet"/>
      <w:lvlText w:val=""/>
      <w:lvlJc w:val="left"/>
      <w:pPr>
        <w:ind w:left="10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1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00" w:hanging="44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hNzRhY2JmZTRlNDllYmEyZTA2NmQxZTU5ZTczYTUifQ=="/>
  </w:docVars>
  <w:rsids>
    <w:rsidRoot w:val="48852D1C"/>
    <w:rsid w:val="000A5C02"/>
    <w:rsid w:val="003C7C93"/>
    <w:rsid w:val="003D37C3"/>
    <w:rsid w:val="004B06BB"/>
    <w:rsid w:val="004F7F31"/>
    <w:rsid w:val="005347D5"/>
    <w:rsid w:val="00561226"/>
    <w:rsid w:val="00601768"/>
    <w:rsid w:val="00716D23"/>
    <w:rsid w:val="0096000E"/>
    <w:rsid w:val="00995F4C"/>
    <w:rsid w:val="00A06A86"/>
    <w:rsid w:val="00B9172A"/>
    <w:rsid w:val="00C60A5B"/>
    <w:rsid w:val="00C61280"/>
    <w:rsid w:val="00D21B1F"/>
    <w:rsid w:val="00D85D7E"/>
    <w:rsid w:val="00E16229"/>
    <w:rsid w:val="00EA40D6"/>
    <w:rsid w:val="00EC13DE"/>
    <w:rsid w:val="06020126"/>
    <w:rsid w:val="07DF9530"/>
    <w:rsid w:val="0A69348C"/>
    <w:rsid w:val="0DBC0BBA"/>
    <w:rsid w:val="0FDD29B4"/>
    <w:rsid w:val="11FF6897"/>
    <w:rsid w:val="1CF30371"/>
    <w:rsid w:val="1DBDF966"/>
    <w:rsid w:val="1DED8D98"/>
    <w:rsid w:val="26760048"/>
    <w:rsid w:val="2D917516"/>
    <w:rsid w:val="31E4342C"/>
    <w:rsid w:val="36965B9D"/>
    <w:rsid w:val="3BFF0D77"/>
    <w:rsid w:val="3DF7B10C"/>
    <w:rsid w:val="3F83A817"/>
    <w:rsid w:val="3FF99145"/>
    <w:rsid w:val="48852D1C"/>
    <w:rsid w:val="4EAA783C"/>
    <w:rsid w:val="53165432"/>
    <w:rsid w:val="547DD673"/>
    <w:rsid w:val="57D6BC11"/>
    <w:rsid w:val="597B332D"/>
    <w:rsid w:val="5DA7A41C"/>
    <w:rsid w:val="5FADF137"/>
    <w:rsid w:val="5FBDC931"/>
    <w:rsid w:val="697B1D8A"/>
    <w:rsid w:val="6BA77929"/>
    <w:rsid w:val="6EB45E91"/>
    <w:rsid w:val="77E31CE9"/>
    <w:rsid w:val="78FD7C42"/>
    <w:rsid w:val="7A951295"/>
    <w:rsid w:val="7BEF0AB4"/>
    <w:rsid w:val="7C7FC105"/>
    <w:rsid w:val="7CEF28AC"/>
    <w:rsid w:val="7E51A843"/>
    <w:rsid w:val="7EFF05EC"/>
    <w:rsid w:val="7F7DA016"/>
    <w:rsid w:val="9FBFFDA4"/>
    <w:rsid w:val="ADFE51A3"/>
    <w:rsid w:val="AF95512D"/>
    <w:rsid w:val="B7F79F1A"/>
    <w:rsid w:val="BB5F8950"/>
    <w:rsid w:val="BB93A114"/>
    <w:rsid w:val="BECF885F"/>
    <w:rsid w:val="DE3FB4C2"/>
    <w:rsid w:val="DFBE88C1"/>
    <w:rsid w:val="DFF36C76"/>
    <w:rsid w:val="DFFFBA53"/>
    <w:rsid w:val="E797656D"/>
    <w:rsid w:val="E7AF0434"/>
    <w:rsid w:val="F7F1BE1D"/>
    <w:rsid w:val="F9DBF37C"/>
    <w:rsid w:val="FACF008F"/>
    <w:rsid w:val="FB397BF1"/>
    <w:rsid w:val="FBC97FFA"/>
    <w:rsid w:val="FBDF1123"/>
    <w:rsid w:val="FBE7599E"/>
    <w:rsid w:val="FCFFEC66"/>
    <w:rsid w:val="FF27FC3F"/>
    <w:rsid w:val="FF87A0F2"/>
    <w:rsid w:val="FFF3ADCE"/>
    <w:rsid w:val="FF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qFormat/>
    <w:uiPriority w:val="99"/>
    <w:pPr>
      <w:spacing w:before="100" w:after="10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511</Words>
  <Characters>2913</Characters>
  <Lines>24</Lines>
  <Paragraphs>6</Paragraphs>
  <TotalTime>3</TotalTime>
  <ScaleCrop>false</ScaleCrop>
  <LinksUpToDate>false</LinksUpToDate>
  <CharactersWithSpaces>3418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2024-06-06T07:53:00Z</dcterms:created>
  <dc:creator>WPS_1666976497</dc:creator>
  <cp:lastModifiedBy>kcj-psy</cp:lastModifiedBy>
  <cp:lastPrinted>2024-06-14T15:15:00Z</cp:lastPrinted>
  <dcterms:modified xsi:type="dcterms:W3CDTF">2024-07-26T17:22:47Z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5901351AE2B04FCB9D0C2534AC6A4842_13</vt:lpwstr>
  </property>
</Properties>
</file>